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比较</w:t>
      </w:r>
      <w:r>
        <w:rPr>
          <w:rFonts w:ascii="Helvetica Neue" w:hAnsi="Helvetica Neue"/>
          <w:rtl w:val="0"/>
          <w:lang w:val="en-US"/>
        </w:rPr>
        <w:t>Kafka Stream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和</w:t>
      </w:r>
      <w:r>
        <w:rPr>
          <w:rFonts w:ascii="Helvetica Neue" w:hAnsi="Helvetica Neue"/>
          <w:rtl w:val="0"/>
          <w:lang w:val="zh-CN" w:eastAsia="zh-CN"/>
        </w:rPr>
        <w:t>Flink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both"/>
        <w:rPr>
          <w:rFonts w:ascii="PingFang SC Semibold" w:cs="PingFang SC Semibold" w:hAnsi="PingFang SC Semibold" w:eastAsia="PingFang SC Semibold"/>
          <w:outline w:val="0"/>
          <w:color w:val="545454"/>
          <w:sz w:val="20"/>
          <w:szCs w:val="20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Semibold" w:hint="eastAsia"/>
          <w:outline w:val="0"/>
          <w:color w:val="545454"/>
          <w:sz w:val="20"/>
          <w:szCs w:val="20"/>
          <w:rtl w:val="0"/>
          <w:lang w:val="zh-CN" w:eastAsia="zh-CN"/>
          <w14:textFill>
            <w14:solidFill>
              <w14:srgbClr w14:val="555555"/>
            </w14:solidFill>
          </w14:textFill>
        </w:rPr>
        <w:t>流式计算</w:t>
      </w:r>
    </w:p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20"/>
          <w:szCs w:val="20"/>
          <w:rtl w:val="0"/>
          <w14:textFill>
            <w14:solidFill>
              <w14:srgbClr w14:val="555555"/>
            </w14:solidFill>
          </w14:textFill>
        </w:rPr>
      </w:pPr>
      <w:r>
        <w:rPr>
          <w:rFonts w:eastAsia="PingFang SC Regular" w:hint="eastAsia"/>
          <w:outline w:val="0"/>
          <w:color w:val="545454"/>
          <w:sz w:val="20"/>
          <w:szCs w:val="20"/>
          <w:rtl w:val="0"/>
          <w:lang w:val="zh-CN" w:eastAsia="zh-CN"/>
          <w14:textFill>
            <w14:solidFill>
              <w14:srgbClr w14:val="555555"/>
            </w14:solidFill>
          </w14:textFill>
        </w:rPr>
        <w:t>一般流式计算会与批量计算相比较。在流式计算模型中，输入是持续的，可以认为在时间上是无界的，也就意味着，永远拿不到全量数据去做计算。同时，计算结果是持续输出的，也即计算结果在时间上也是无界的。流式计算一般对实时性要求较高，同时一般是先定义目标计算，然后数据到来之后将计算逻辑应用于数据。同时为了提高计算效率，往往尽可能采用增量计算代替全量计算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:lang w:val="de-DE"/>
          <w14:textFill>
            <w14:solidFill>
              <w14:srgbClr w14:val="15202B"/>
            </w14:solidFill>
          </w14:textFill>
        </w:rPr>
        <w:t>Apache Flink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  <w:r>
        <w:rPr>
          <w:rFonts w:ascii="Helvetica" w:hAnsi="Helvetica" w:hint="default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高性能集群数据处理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u w:val="single"/>
          <w:rtl w:val="0"/>
          <w:lang w:val="zh-CN" w:eastAsia="zh-CN"/>
          <w14:textFill>
            <w14:solidFill>
              <w14:srgbClr w14:val="15202B"/>
            </w14:solidFill>
          </w14:textFill>
        </w:rPr>
        <w:t>框架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中等集群上的每秒千万级事件的吞吐量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毫秒级输出延迟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保证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应用状态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正好消费一次，及端至端正好一次的发送（例：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 xml:space="preserve">Kafka 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-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:lang w:val="en-US"/>
          <w14:textFill>
            <w14:solidFill>
              <w14:srgbClr w14:val="15202B"/>
            </w14:solidFill>
          </w14:textFill>
        </w:rPr>
        <w:t>&gt;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:lang w:val="en-US"/>
          <w14:textFill>
            <w14:solidFill>
              <w14:srgbClr w14:val="15202B"/>
            </w14:solidFill>
          </w14:textFill>
        </w:rPr>
        <w:t xml:space="preserve"> Flink 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:lang w:val="en-US"/>
          <w14:textFill>
            <w14:solidFill>
              <w14:srgbClr w14:val="15202B"/>
            </w14:solidFill>
          </w14:textFill>
        </w:rPr>
        <w:t>-&gt;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 xml:space="preserve"> HDFS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）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支持指定事件时间来源以精确地处理乱序事件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高可用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流批一体的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查询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API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:lang w:val="nl-NL"/>
          <w14:textFill>
            <w14:solidFill>
              <w14:srgbClr w14:val="15202B"/>
            </w14:solidFill>
          </w14:textFill>
        </w:rPr>
        <w:t>Kafka Streams API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u w:val="single"/>
          <w:rtl w:val="0"/>
          <w14:textFill>
            <w14:solidFill>
              <w14:srgbClr w14:val="15202B"/>
            </w14:solidFill>
          </w14:textFill>
        </w:rPr>
      </w:pPr>
      <w:r>
        <w:rPr>
          <w:rFonts w:ascii="Helvetica" w:hAnsi="Helvetica" w:hint="default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基于</w:t>
      </w:r>
      <w:r>
        <w:rPr>
          <w:rFonts w:ascii="Helvetica" w:hAnsi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>Kafka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的流式处理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u w:val="single"/>
          <w:rtl w:val="0"/>
          <w:lang w:val="zh-CN" w:eastAsia="zh-CN"/>
          <w14:textFill>
            <w14:solidFill>
              <w14:srgbClr w14:val="15202B"/>
            </w14:solidFill>
          </w14:textFill>
        </w:rPr>
        <w:t>类库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内置于你的应用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Helvetica" w:hint="eastAsia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充分利用了</w:t>
      </w:r>
      <w:r>
        <w:rPr>
          <w:rStyle w:val="Hyperlink.0"/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instrText xml:space="preserve"> HYPERLINK "http://www.jasongj.com/2015/03/10/KafkaColumn1/#Topic-amp-Partition"</w:instrText>
      </w:r>
      <w:r>
        <w:rPr>
          <w:rStyle w:val="Hyperlink.0"/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>Kafka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的分区机制</w:t>
      </w:r>
      <w:r>
        <w:rPr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ja-JP" w:eastAsia="ja-JP"/>
          <w14:textFill>
            <w14:solidFill>
              <w14:srgbClr w14:val="15202B"/>
            </w14:solidFill>
          </w14:textFill>
        </w:rPr>
        <w:t>和</w:t>
      </w:r>
      <w:r>
        <w:rPr>
          <w:rStyle w:val="Hyperlink.0"/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instrText xml:space="preserve"> HYPERLINK "http://www.jasongj.com/2015/08/09/KafkaColumn4/#High-Level-Consumer-Rebalance"</w:instrText>
      </w:r>
      <w:r>
        <w:rPr>
          <w:rStyle w:val="Hyperlink.0"/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141f2b"/>
          <w:sz w:val="28"/>
          <w:szCs w:val="28"/>
          <w:rtl w:val="0"/>
          <w:lang w:val="en-US"/>
          <w14:textFill>
            <w14:solidFill>
              <w14:srgbClr w14:val="15202B"/>
            </w14:solidFill>
          </w14:textFill>
        </w:rPr>
        <w:t>Consumer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的</w:t>
      </w:r>
      <w:r>
        <w:rPr>
          <w:rStyle w:val="Hyperlink.0"/>
          <w:rFonts w:ascii="Helvetica" w:hAnsi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>Rebalance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机制</w:t>
      </w:r>
      <w:r>
        <w:rPr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76"/>
        <w:gridCol w:w="4136"/>
        <w:gridCol w:w="4618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Apache Flink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Helvetica" w:hAnsi="Helvetica"/>
                <w:b w:val="1"/>
                <w:bCs w:val="1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Kafka Streams API</w:t>
            </w:r>
          </w:p>
        </w:tc>
      </w:tr>
      <w:tr>
        <w:tblPrEx>
          <w:shd w:val="clear" w:color="auto" w:fill="auto"/>
        </w:tblPrEx>
        <w:trPr>
          <w:trHeight w:val="1607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计算任务的部署</w:t>
            </w:r>
          </w:p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框架自行处理应用的部署。可能是 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standalone Flink clusters,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或使用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YARN, Mesos,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容器 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(Docker, Kubernetes)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用户自行管理应用部署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生命周期</w:t>
            </w:r>
          </w:p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在 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Flink cluster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中以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job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的形式管理用户的处理逻辑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在用户的应用里面执行处理逻辑</w:t>
            </w:r>
          </w:p>
        </w:tc>
      </w:tr>
      <w:tr>
        <w:tblPrEx>
          <w:shd w:val="clear" w:color="auto" w:fill="auto"/>
        </w:tblPrEx>
        <w:trPr>
          <w:trHeight w:val="1207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典型的使用者</w:t>
            </w:r>
          </w:p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数据处理基础设施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team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或 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BI team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业务开发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team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协调</w:t>
            </w:r>
          </w:p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Flink Master (JobManager)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在 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Kafka cluster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中协调负载均衡和容错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207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流式数据源</w:t>
            </w:r>
          </w:p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Kafka,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文件系统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或其他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MQ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只使用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Kafka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接收事件</w:t>
            </w:r>
          </w:p>
        </w:tc>
      </w:tr>
      <w:tr>
        <w:tblPrEx>
          <w:shd w:val="clear" w:color="auto" w:fill="auto"/>
        </w:tblPrEx>
        <w:trPr>
          <w:trHeight w:val="1607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接收处理结果</w:t>
            </w:r>
          </w:p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Kafka,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其他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MQs,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文件系统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分析数据库（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analytical database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）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, KV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数据库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成为另一个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Flink Job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的应用状态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及其他外部系统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Kafka,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应用状态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,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操作数据库（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operational database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） 及其他外部系统</w:t>
            </w:r>
          </w:p>
        </w:tc>
      </w:tr>
      <w:tr>
        <w:tblPrEx>
          <w:shd w:val="clear" w:color="auto" w:fill="auto"/>
        </w:tblPrEx>
        <w:trPr>
          <w:trHeight w:val="1607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数据源是否有尽</w:t>
            </w:r>
          </w:p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有尽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+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无尽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无尽</w:t>
            </w:r>
          </w:p>
        </w:tc>
      </w:tr>
      <w:tr>
        <w:tblPrEx>
          <w:shd w:val="clear" w:color="auto" w:fill="auto"/>
        </w:tblPrEx>
        <w:trPr>
          <w:trHeight w:val="2407" w:hRule="atLeast"/>
        </w:trPr>
        <w:tc>
          <w:tcPr>
            <w:tcW w:type="dxa" w:w="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语意保证</w:t>
            </w:r>
          </w:p>
        </w:tc>
        <w:tc>
          <w:tcPr>
            <w:tcW w:type="dxa" w:w="41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 Flink state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内部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Exactly once;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使用的数据源和接收方端到端正好一次 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(e.g., Kafka to Flink to HDFS);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当使用</w:t>
            </w:r>
            <w:r>
              <w:rPr>
                <w:rFonts w:ascii="Helvetica" w:hAnsi="Helvetic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 xml:space="preserve">Kafka </w:t>
            </w: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为接收方时，至少一次（未来会支持正好一次）</w:t>
            </w:r>
          </w:p>
        </w:tc>
        <w:tc>
          <w:tcPr>
            <w:tcW w:type="dxa" w:w="4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outline w:val="0"/>
                <w:color w:val="141f2b"/>
                <w:sz w:val="28"/>
                <w:szCs w:val="28"/>
                <w:rtl w:val="0"/>
                <w14:textFill>
                  <w14:solidFill>
                    <w14:srgbClr w14:val="15202B"/>
                  </w14:solidFill>
                </w14:textFill>
              </w:rPr>
              <w:t>端到端正好一次</w:t>
            </w:r>
          </w:p>
        </w:tc>
      </w:tr>
    </w:tbl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41f2b"/>
          <w:sz w:val="32"/>
          <w:szCs w:val="32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141f2b"/>
          <w:sz w:val="32"/>
          <w:szCs w:val="32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总而言之，由于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两者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体系结构的差异，我们将它们视为互补的系统。</w:t>
      </w: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:lang w:val="en-US"/>
          <w14:textFill>
            <w14:solidFill>
              <w14:srgbClr w14:val="15202B"/>
            </w14:solidFill>
          </w14:textFill>
        </w:rPr>
        <w:t>Streams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使流处理可以作为应用程序编程模型进行访问，由于以下原因，作为微服务构建的应用程序可以从</w:t>
      </w: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>Kafka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的核心竞争力（性能，可伸缩性，安全性，可靠性以及端到端的一次准确使用）中受益。它与</w:t>
      </w: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>Kafka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中的核心抽象紧密集成。另一方面，</w:t>
      </w: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:lang w:val="nl-NL"/>
          <w14:textFill>
            <w14:solidFill>
              <w14:srgbClr w14:val="15202B"/>
            </w14:solidFill>
          </w14:textFill>
        </w:rPr>
        <w:t>Flink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非常适合部署在现有集群中的应用程序，并受益于吞吐量，延迟，事件时间语义，保存点和操作功能，一次保证应用程序状态，端到端完全</w:t>
      </w: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一次担保（今天与</w:t>
      </w:r>
      <w:r>
        <w:rPr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t>Kafka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作为接收器一起使用时除外）和批处理。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41f2b"/>
          <w:sz w:val="28"/>
          <w:szCs w:val="28"/>
          <w:rtl w:val="0"/>
          <w:lang w:val="zh-CN" w:eastAsia="zh-CN"/>
          <w14:textFill>
            <w14:solidFill>
              <w14:srgbClr w14:val="15202B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instrText xml:space="preserve"> HYPERLINK "https://www.confluent.io/blog/apache-flink-apache-kafka-streams-comparison-guideline-users/"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:lang w:val="en-US"/>
          <w14:textFill>
            <w14:solidFill>
              <w14:srgbClr w14:val="15202B"/>
            </w14:solidFill>
          </w14:textFill>
        </w:rPr>
        <w:t>https://www.confluent.io/blog/apache-flink-apache-kafka-streams-comparison-guideline-users/</w:t>
      </w:r>
      <w:r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instrText xml:space="preserve"> HYPERLINK "http://www.jasongj.com/kafka/kafka_stream/"</w:instrText>
      </w:r>
      <w:r>
        <w:rPr>
          <w:rStyle w:val="Hyperlink.0"/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outline w:val="0"/>
          <w:color w:val="141f2b"/>
          <w:sz w:val="28"/>
          <w:szCs w:val="28"/>
          <w:rtl w:val="0"/>
          <w:lang w:val="en-US"/>
          <w14:textFill>
            <w14:solidFill>
              <w14:srgbClr w14:val="15202B"/>
            </w14:solidFill>
          </w14:textFill>
        </w:rPr>
        <w:t>http://www.jasongj.com/kafka/kafka_stream/</w:t>
      </w:r>
      <w:r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41f2b"/>
          <w:sz w:val="28"/>
          <w:szCs w:val="28"/>
          <w:rtl w:val="0"/>
          <w14:textFill>
            <w14:solidFill>
              <w14:srgbClr w14:val="15202B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大项目符号"/>
  </w:abstractNum>
  <w:abstractNum w:abstractNumId="1">
    <w:multiLevelType w:val="hybridMultilevel"/>
    <w:styleLink w:val="大项目符号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大项目符号">
    <w:name w:val="大项目符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