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分布式事务</w:t>
      </w:r>
    </w:p>
    <w:p>
      <w:pPr>
        <w:pStyle w:val="副标题"/>
        <w:jc w:val="center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两阶段提交及</w:t>
      </w:r>
      <w:r>
        <w:rPr>
          <w:rFonts w:ascii="Helvetica Neue" w:hAnsi="Helvetica Neue"/>
          <w:rtl w:val="0"/>
        </w:rPr>
        <w:t>JTA</w:t>
      </w:r>
    </w:p>
    <w:p>
      <w:pPr>
        <w:pStyle w:val="正文"/>
        <w:bidi w:val="0"/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事务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ja-JP" w:eastAsia="ja-JP"/>
          <w14:textFill>
            <w14:solidFill>
              <w14:srgbClr w14:val="555555"/>
            </w14:solidFill>
          </w14:textFill>
        </w:rPr>
        <w:t>原子性（</w:t>
      </w: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it-IT"/>
          <w14:textFill>
            <w14:solidFill>
              <w14:srgbClr w14:val="555555"/>
            </w14:solidFill>
          </w14:textFill>
        </w:rPr>
        <w:t>Atomicity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TW" w:eastAsia="zh-TW"/>
          <w14:textFill>
            <w14:solidFill>
              <w14:srgbClr w14:val="555555"/>
            </w14:solidFill>
          </w14:textFill>
        </w:rPr>
        <w:t>）、一致性（</w:t>
      </w: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  <w:t>Consistency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）、隔离性（</w:t>
      </w: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it-IT"/>
          <w14:textFill>
            <w14:solidFill>
              <w14:srgbClr w14:val="555555"/>
            </w14:solidFill>
          </w14:textFill>
        </w:rPr>
        <w:t>Isolation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）和持久性（</w:t>
      </w: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  <w:t>Durability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  <w:t>）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分布式事务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概念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会涉及到操作多个数据库（或者提供事务语义的系统，如</w:t>
      </w: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  <w:t>JMS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）的事务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核心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知道事务在任何地方所做的所有动作，提交或回滚事务的决定必须产生统一的结果（全部提交或全部回滚）。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理论基础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  <w:t>BASE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（</w:t>
      </w: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  <w:t>Basically Available Soft State Eventual Consistency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）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 理论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  <w:t>BA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  <w:t>：</w:t>
      </w: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  <w:t xml:space="preserve">Basically Available 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基本可用，分布式系统在出现故障的时候，允许损失部分可用性，即保证核心可用。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  <w:t>S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  <w:t>：</w:t>
      </w: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  <w:t xml:space="preserve">Soft State 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软状态，允许系统存在中间状态，而该中间状态不会影响系统整体可用性。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  <w:t>E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  <w:t>：</w:t>
      </w: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  <w:t xml:space="preserve">Consistency 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最终一致性，系统中的所有数据副本经过一定时间后，最终能够达到一致的状态。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</w:p>
    <w:p>
      <w:pPr>
        <w:pStyle w:val="小标题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分布式事务的解决方案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1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，</w:t>
      </w:r>
      <w:r>
        <w:rPr>
          <w:rFonts w:eastAsia="PingFang SC Regular" w:hint="eastAsia"/>
          <w:outline w:val="0"/>
          <w:color w:val="545454"/>
          <w:sz w:val="28"/>
          <w:szCs w:val="28"/>
          <w:rtl w:val="0"/>
          <w:lang w:val="zh-CN" w:eastAsia="zh-CN"/>
          <w14:textFill>
            <w14:solidFill>
              <w14:srgbClr w14:val="555555"/>
            </w14:solidFill>
          </w14:textFill>
        </w:rPr>
        <w:t>两阶段提交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6"/>
          <w:szCs w:val="26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545454"/>
          <w:sz w:val="26"/>
          <w:szCs w:val="26"/>
          <w:shd w:val="clear" w:color="auto" w:fill="ededed"/>
          <w:rtl w:val="0"/>
          <w:lang w:val="zh-CN" w:eastAsia="zh-CN"/>
          <w14:textFill>
            <w14:solidFill>
              <w14:srgbClr w14:val="555555"/>
            </w14:solidFill>
          </w14:textFill>
        </w:rPr>
        <w:t>准备阶段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 又称投票阶段。在这一阶段，协调者询问所有参与者是否准备好提交，参与者如果已经准备好提交则回复</w:t>
      </w:r>
      <w:r>
        <w:rPr>
          <w:rFonts w:ascii="Menlo Regular" w:hAnsi="Menlo Regular"/>
          <w:outline w:val="0"/>
          <w:color w:val="545454"/>
          <w:sz w:val="26"/>
          <w:szCs w:val="26"/>
          <w:shd w:val="clear" w:color="auto" w:fill="ededed"/>
          <w:rtl w:val="0"/>
          <w:lang w:val="en-US"/>
          <w14:textFill>
            <w14:solidFill>
              <w14:srgbClr w14:val="555555"/>
            </w14:solidFill>
          </w14:textFill>
        </w:rPr>
        <w:t>Prepared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，否则回复</w:t>
      </w:r>
      <w:r>
        <w:rPr>
          <w:rFonts w:ascii="Menlo Regular" w:hAnsi="Menlo Regular"/>
          <w:outline w:val="0"/>
          <w:color w:val="545454"/>
          <w:sz w:val="26"/>
          <w:szCs w:val="26"/>
          <w:shd w:val="clear" w:color="auto" w:fill="ededed"/>
          <w:rtl w:val="0"/>
          <w:lang w:val="en-US"/>
          <w14:textFill>
            <w14:solidFill>
              <w14:srgbClr w14:val="555555"/>
            </w14:solidFill>
          </w14:textFill>
        </w:rPr>
        <w:t>Non-Prepared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。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6"/>
          <w:szCs w:val="26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545454"/>
          <w:sz w:val="26"/>
          <w:szCs w:val="26"/>
          <w:shd w:val="clear" w:color="auto" w:fill="ededed"/>
          <w:rtl w:val="0"/>
          <w:lang w:val="zh-CN" w:eastAsia="zh-CN"/>
          <w14:textFill>
            <w14:solidFill>
              <w14:srgbClr w14:val="555555"/>
            </w14:solidFill>
          </w14:textFill>
        </w:rPr>
        <w:t>提交阶段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 又称执行阶段。协调者如果在上一阶段收到所有参与者回复的</w:t>
      </w:r>
      <w:r>
        <w:rPr>
          <w:rFonts w:ascii="Menlo Regular" w:hAnsi="Menlo Regular"/>
          <w:outline w:val="0"/>
          <w:color w:val="545454"/>
          <w:sz w:val="26"/>
          <w:szCs w:val="26"/>
          <w:shd w:val="clear" w:color="auto" w:fill="ededed"/>
          <w:rtl w:val="0"/>
          <w:lang w:val="en-US"/>
          <w14:textFill>
            <w14:solidFill>
              <w14:srgbClr w14:val="555555"/>
            </w14:solidFill>
          </w14:textFill>
        </w:rPr>
        <w:t>Prepared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，则在此阶段向所有参与者发送</w:t>
      </w:r>
      <w:r>
        <w:rPr>
          <w:rFonts w:ascii="Menlo Regular" w:hAnsi="Menlo Regular"/>
          <w:outline w:val="0"/>
          <w:color w:val="545454"/>
          <w:sz w:val="26"/>
          <w:szCs w:val="26"/>
          <w:shd w:val="clear" w:color="auto" w:fill="ededed"/>
          <w:rtl w:val="0"/>
          <w:lang w:val="en-US"/>
          <w14:textFill>
            <w14:solidFill>
              <w14:srgbClr w14:val="555555"/>
            </w14:solidFill>
          </w14:textFill>
        </w:rPr>
        <w:t>commit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指令，所有参与者立即执行</w:t>
      </w:r>
      <w:r>
        <w:rPr>
          <w:rFonts w:ascii="Menlo Regular" w:hAnsi="Menlo Regular"/>
          <w:outline w:val="0"/>
          <w:color w:val="545454"/>
          <w:sz w:val="26"/>
          <w:szCs w:val="26"/>
          <w:shd w:val="clear" w:color="auto" w:fill="ededed"/>
          <w:rtl w:val="0"/>
          <w:lang w:val="en-US"/>
          <w14:textFill>
            <w14:solidFill>
              <w14:srgbClr w14:val="555555"/>
            </w14:solidFill>
          </w14:textFill>
        </w:rPr>
        <w:t>commit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操作；否则协调者向所有参与者发送</w:t>
      </w:r>
      <w:r>
        <w:rPr>
          <w:rFonts w:ascii="Menlo Regular" w:hAnsi="Menlo Regular"/>
          <w:outline w:val="0"/>
          <w:color w:val="545454"/>
          <w:sz w:val="26"/>
          <w:szCs w:val="26"/>
          <w:shd w:val="clear" w:color="auto" w:fill="ededed"/>
          <w:rtl w:val="0"/>
          <w:lang w:val="sv-SE"/>
          <w14:textFill>
            <w14:solidFill>
              <w14:srgbClr w14:val="555555"/>
            </w14:solidFill>
          </w14:textFill>
        </w:rPr>
        <w:t>rollback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指令，参与者立即执行</w:t>
      </w:r>
      <w:r>
        <w:rPr>
          <w:rFonts w:ascii="Menlo Regular" w:hAnsi="Menlo Regular"/>
          <w:outline w:val="0"/>
          <w:color w:val="545454"/>
          <w:sz w:val="26"/>
          <w:szCs w:val="26"/>
          <w:shd w:val="clear" w:color="auto" w:fill="ededed"/>
          <w:rtl w:val="0"/>
          <w:lang w:val="sv-SE"/>
          <w14:textFill>
            <w14:solidFill>
              <w14:srgbClr w14:val="555555"/>
            </w14:solidFill>
          </w14:textFill>
        </w:rPr>
        <w:t>rollback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操作。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缺点</w:t>
      </w:r>
    </w:p>
    <w:p>
      <w:pPr>
        <w:pStyle w:val="默认"/>
        <w:numPr>
          <w:ilvl w:val="0"/>
          <w:numId w:val="5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同步阻塞：当参与事务者存在占用公共资源的情况，其中一个占用了资源，其他事务参与者就只能阻塞等待资源释放，处于阻塞状态。</w:t>
      </w:r>
    </w:p>
    <w:p>
      <w:pPr>
        <w:pStyle w:val="默认"/>
        <w:numPr>
          <w:ilvl w:val="0"/>
          <w:numId w:val="5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单点故障：一旦事务管理器出现故障，整个系统不可用</w:t>
      </w:r>
    </w:p>
    <w:p>
      <w:pPr>
        <w:pStyle w:val="默认"/>
        <w:numPr>
          <w:ilvl w:val="0"/>
          <w:numId w:val="5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数据不一致：在阶段二，如果事务管理器只发送了部分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commit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消息，此时网络发生异常，那么只有部分参与者接收到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commit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消息，也就是说只有部分参与者提交了事务，使得系统数据不一致。</w:t>
      </w:r>
    </w:p>
    <w:p>
      <w:pPr>
        <w:pStyle w:val="默认"/>
        <w:numPr>
          <w:ilvl w:val="0"/>
          <w:numId w:val="5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不确定性：当协事务管理器发送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commit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之后，并且此时只有一个参与者收到了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commit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，那么当该参与者与事务管理器同时宕机之后，重新选举的事务管理器无法确定该条消息是否提交成功。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实现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支付宝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的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DTS(Distributed Transaction Service)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Oracle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TW" w:eastAsia="zh-TW"/>
          <w14:textFill>
            <w14:solidFill>
              <w14:srgbClr w14:val="555555"/>
            </w14:solidFill>
          </w14:textFill>
        </w:rPr>
        <w:t>、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Informix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TW" w:eastAsia="zh-TW"/>
          <w14:textFill>
            <w14:solidFill>
              <w14:srgbClr w14:val="555555"/>
            </w14:solidFill>
          </w14:textFill>
        </w:rPr>
        <w:t>、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DB2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TW" w:eastAsia="zh-TW"/>
          <w14:textFill>
            <w14:solidFill>
              <w14:srgbClr w14:val="555555"/>
            </w14:solidFill>
          </w14:textFill>
        </w:rPr>
        <w:t>、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Sybase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ja-JP" w:eastAsia="ja-JP"/>
          <w14:textFill>
            <w14:solidFill>
              <w14:srgbClr w14:val="555555"/>
            </w14:solidFill>
          </w14:textFill>
        </w:rPr>
        <w:t>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PostgreSQL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等各主流数据库都提供了对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XA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的支持。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2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>TCC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（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>Try-Confirm-Cancel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）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Try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阶段：尝试执行，完成所有业务检查（一致性）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,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预留必须业务资源（准隔离性）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Confirm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阶段：确认执行真正执行业务，不作任何业务检查，只使用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Try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阶段预留的业务资源，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Confirm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操作满足幂等性。要求具备幂等设计，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Confirm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失败后需要进行重试。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s-ES_tradnl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s-ES_tradnl"/>
          <w14:textFill>
            <w14:solidFill>
              <w14:srgbClr w14:val="555555"/>
            </w14:solidFill>
          </w14:textFill>
        </w:rPr>
        <w:t xml:space="preserve">Cancel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阶段：取消执行，释放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Try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阶段预留的业务资源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s-ES_tradnl"/>
          <w14:textFill>
            <w14:solidFill>
              <w14:srgbClr w14:val="555555"/>
            </w14:solidFill>
          </w14:textFill>
        </w:rPr>
        <w:t xml:space="preserve">Cancel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操作满足幂等性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s-ES_tradnl"/>
          <w14:textFill>
            <w14:solidFill>
              <w14:srgbClr w14:val="555555"/>
            </w14:solidFill>
          </w14:textFill>
        </w:rPr>
        <w:t xml:space="preserve">Cancel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阶段的异常和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Confirm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阶段异常处理方案基本上一致。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   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>TCC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解决方案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6120057" cy="177226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72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及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SEATA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s-ES_tradnl"/>
          <w14:textFill>
            <w14:solidFill>
              <w14:srgbClr w14:val="555555"/>
            </w14:solidFill>
          </w14:textFill>
        </w:rPr>
        <w:t xml:space="preserve">Cancel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阶段需要注意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的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异常处理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空回滚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现象：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在没有调用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>TCC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资源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Try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方法的情况下，调用来二阶段的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>Cancel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方法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原因：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当一个分支事务所在服务宕机或网络异常，分支事务调用记录为失败，这个时候其实是没有执行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Try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阶段，当故障恢复后，分布式事务进行回滚则会调用二阶段的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>Cancel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方法，从而形成空回滚。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对策：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TM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在发起全局事务时生成全局事务记录，全局事务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ID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贯穿整个分布式事务调用链条。再额外增加一张分支事务记录表，其中有全局事务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ID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和分支事务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ID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，第一阶段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Try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方法里会插入一条记录，表示一阶段执行来。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>Cancel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接口里读取该记录，如果该记录存在，则正常回滚；如果该记录不存在，则是空回滚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，此时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TW" w:eastAsia="zh-TW"/>
          <w14:textFill>
            <w14:solidFill>
              <w14:srgbClr w14:val="555555"/>
            </w14:solidFill>
          </w14:textFill>
        </w:rPr>
        <w:t>直接返回成功。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悬挂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现象：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二阶段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>Cancel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TW" w:eastAsia="zh-TW"/>
          <w14:textFill>
            <w14:solidFill>
              <w14:srgbClr w14:val="555555"/>
            </w14:solidFill>
          </w14:textFill>
        </w:rPr>
        <w:t>接口比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Try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接口先执行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原因：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>RPC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调用分支事务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try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时，先注册分支事务，再执行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>RPC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调用，如果此时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>RPC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调用的网络发生拥堵，通常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>RPC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调用是有超时时间的，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>RPC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超时以后，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TM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就会通知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de-DE"/>
          <w14:textFill>
            <w14:solidFill>
              <w14:srgbClr w14:val="555555"/>
            </w14:solidFill>
          </w14:textFill>
        </w:rPr>
        <w:t>RM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回滚该分布式事务，可能回滚完成后，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>RPC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请求才到达参与者真正执行，而一个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Try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方法预留的业务资源，只有该分布式事务才能使用，该分布式事务第一阶段预留的业务资源就再也没有人能够处理了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对策：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解决思路是如果二阶段执行完成，那一阶段就不能再继续执行。在执行一阶段事务时判断在该全局事务下，</w:t>
      </w:r>
      <w:r>
        <w:rPr>
          <w:rFonts w:ascii="PingFang SC Regular" w:hAnsi="PingFang SC Regular" w:hint="default"/>
          <w:outline w:val="0"/>
          <w:color w:val="545454"/>
          <w:sz w:val="28"/>
          <w:szCs w:val="28"/>
          <w:shd w:val="clear" w:color="auto" w:fill="ffffff"/>
          <w:rtl w:val="1"/>
          <w:lang w:val="ar-SA" w:bidi="ar-SA"/>
          <w14:textFill>
            <w14:solidFill>
              <w14:srgbClr w14:val="555555"/>
            </w14:solidFill>
          </w14:textFill>
        </w:rPr>
        <w:t>“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分支事务记录</w:t>
      </w:r>
      <w:r>
        <w:rPr>
          <w:rFonts w:ascii="PingFang SC Regular" w:hAnsi="PingFang SC Regular" w:hint="default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”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表中是否已经有二阶段事务记录，如果有则不执行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Try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缺点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主业务服务和从业务服务都需要进行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适配，开发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成本更高。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3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本地消息表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6120057" cy="2825426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254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numPr>
          <w:ilvl w:val="0"/>
          <w:numId w:val="7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当系统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 xml:space="preserve">A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被其他系统调用发生数据库表更操作，首先会更新数据库的业务表，其次会往相同数据库的消息表中插入一条数据，两个操作发生在同一个事务中</w:t>
      </w:r>
    </w:p>
    <w:p>
      <w:pPr>
        <w:pStyle w:val="默认"/>
        <w:numPr>
          <w:ilvl w:val="0"/>
          <w:numId w:val="7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 xml:space="preserve">A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的脚本定期轮询本地消息往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中写入一条消息，如果消息发送失败会进行重试</w:t>
      </w:r>
    </w:p>
    <w:p>
      <w:pPr>
        <w:pStyle w:val="默认"/>
        <w:numPr>
          <w:ilvl w:val="0"/>
          <w:numId w:val="7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B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消费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中的消息，并处理业务逻辑。如果本地事务处理失败，会在继续消费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中的消息进行重试，如果业务上的失败，可以通知系统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 xml:space="preserve">A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进行回滚操作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应用场景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跨行转账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6120057" cy="1418666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18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4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，依托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TW" w:eastAsia="zh-TW"/>
          <w14:textFill>
            <w14:solidFill>
              <w14:srgbClr w14:val="555555"/>
            </w14:solidFill>
          </w14:textFill>
        </w:rPr>
        <w:t>可靠消息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队列的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最终一致性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6120057" cy="3522685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22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numPr>
          <w:ilvl w:val="0"/>
          <w:numId w:val="8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 xml:space="preserve">A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系统先向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发送一条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it-IT"/>
          <w14:textFill>
            <w14:solidFill>
              <w14:srgbClr w14:val="555555"/>
            </w14:solidFill>
          </w14:textFill>
        </w:rPr>
        <w:t xml:space="preserve">prepare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TW" w:eastAsia="zh-TW"/>
          <w14:textFill>
            <w14:solidFill>
              <w14:srgbClr w14:val="555555"/>
            </w14:solidFill>
          </w14:textFill>
        </w:rPr>
        <w:t xml:space="preserve">消息，如果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it-IT"/>
          <w14:textFill>
            <w14:solidFill>
              <w14:srgbClr w14:val="555555"/>
            </w14:solidFill>
          </w14:textFill>
        </w:rPr>
        <w:t xml:space="preserve">prepare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消息发送失败，则直接取消操作</w:t>
      </w:r>
    </w:p>
    <w:p>
      <w:pPr>
        <w:pStyle w:val="默认"/>
        <w:numPr>
          <w:ilvl w:val="0"/>
          <w:numId w:val="7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如果消息发送成功，则执行本地事务</w:t>
      </w:r>
    </w:p>
    <w:p>
      <w:pPr>
        <w:pStyle w:val="默认"/>
        <w:numPr>
          <w:ilvl w:val="0"/>
          <w:numId w:val="7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如果本地事务执行成功，则想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发送一条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confirm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消息，如果发送失败，则发送回滚消息</w:t>
      </w:r>
    </w:p>
    <w:p>
      <w:pPr>
        <w:pStyle w:val="默认"/>
        <w:numPr>
          <w:ilvl w:val="0"/>
          <w:numId w:val="7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B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系统定期消费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中的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confirm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消息，执行本地事务，并发送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ack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TW" w:eastAsia="zh-TW"/>
          <w14:textFill>
            <w14:solidFill>
              <w14:srgbClr w14:val="555555"/>
            </w14:solidFill>
          </w14:textFill>
        </w:rPr>
        <w:t xml:space="preserve">消息。如果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B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系统中的本地事务失败，会一直不断重试，如果是业务失败，会向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 xml:space="preserve">A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系统发起回滚请求</w:t>
      </w:r>
    </w:p>
    <w:p>
      <w:pPr>
        <w:pStyle w:val="默认"/>
        <w:numPr>
          <w:ilvl w:val="0"/>
          <w:numId w:val="7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会定期轮询所有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prepared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消息调用系统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 xml:space="preserve">A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提供的接口查询消息的处理情况，如果该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it-IT"/>
          <w14:textFill>
            <w14:solidFill>
              <w14:srgbClr w14:val="555555"/>
            </w14:solidFill>
          </w14:textFill>
        </w:rPr>
        <w:t xml:space="preserve">prepare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消息本地事务处理成功，则重新发送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 xml:space="preserve">confirm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消息，否则直接回滚该消息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目前市面上支持该方案的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fr-FR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只有阿里的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de-DE"/>
          <w14:textFill>
            <w14:solidFill>
              <w14:srgbClr w14:val="555555"/>
            </w14:solidFill>
          </w14:textFill>
        </w:rPr>
        <w:t>rocketmq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场景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用户注册成功后发送邮件、电商系统给用户发送优惠券等需要保证最终一致性的场景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5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最大努力通知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最大努力通知是最简单的一种柔性事务，适用于一些最终一致性时间敏感度低的业务，且被动方处理结果 不影响主动方的处理结果。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这个方案的大致意思就是：</w:t>
      </w:r>
    </w:p>
    <w:p>
      <w:pPr>
        <w:pStyle w:val="默认"/>
        <w:numPr>
          <w:ilvl w:val="0"/>
          <w:numId w:val="9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pt-PT"/>
          <w14:textFill>
            <w14:solidFill>
              <w14:srgbClr w14:val="555555"/>
            </w14:solidFill>
          </w14:textFill>
        </w:rPr>
        <w:t xml:space="preserve">A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本地事务执行完之后，发送个消息到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it-IT"/>
          <w14:textFill>
            <w14:solidFill>
              <w14:srgbClr w14:val="555555"/>
            </w14:solidFill>
          </w14:textFill>
        </w:rPr>
        <w:t>MQ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；</w:t>
      </w:r>
    </w:p>
    <w:p>
      <w:pPr>
        <w:pStyle w:val="默认"/>
        <w:numPr>
          <w:ilvl w:val="0"/>
          <w:numId w:val="7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这里会有个专门消费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的服务，这个服务会消费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MQ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并调用系统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B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TW" w:eastAsia="zh-TW"/>
          <w14:textFill>
            <w14:solidFill>
              <w14:srgbClr w14:val="555555"/>
            </w14:solidFill>
          </w14:textFill>
        </w:rPr>
        <w:t>的接口；</w:t>
      </w:r>
    </w:p>
    <w:p>
      <w:pPr>
        <w:pStyle w:val="默认"/>
        <w:numPr>
          <w:ilvl w:val="0"/>
          <w:numId w:val="7"/>
        </w:numPr>
        <w:bidi w:val="0"/>
        <w:spacing w:before="0"/>
        <w:ind w:right="0"/>
        <w:jc w:val="both"/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要是系统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B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执行成功就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nl-NL"/>
          <w14:textFill>
            <w14:solidFill>
              <w14:srgbClr w14:val="555555"/>
            </w14:solidFill>
          </w14:textFill>
        </w:rPr>
        <w:t xml:space="preserve">ok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了；要是系统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B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执行失败了，那么最大努力通知服务就定时尝试重新调用系统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 xml:space="preserve">B,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 xml:space="preserve">反复 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de-DE"/>
          <w14:textFill>
            <w14:solidFill>
              <w14:srgbClr w14:val="555555"/>
            </w14:solidFill>
          </w14:textFill>
        </w:rPr>
        <w:t xml:space="preserve">N 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次，最后还是不行就放弃。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场景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支付回调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，系统间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订单数据同步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心得</w:t>
      </w:r>
    </w:p>
    <w:p>
      <w:pPr>
        <w:pStyle w:val="默认"/>
        <w:bidi w:val="0"/>
        <w:spacing w:before="0"/>
        <w:ind w:left="0" w:right="0" w:firstLine="0"/>
        <w:jc w:val="both"/>
        <w:rPr>
          <w:rtl w:val="0"/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分布式事务本身就是一个技术难题，业务中具体使用哪种方案还是需要根据自身业务特点自行选择，每种方案在实际执行过程中需要考虑的点都非常多，复杂度较大，所以在非必要的情况下，分布式事务能不用就尽量不用。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br w:type="page"/>
      </w:r>
    </w:p>
    <w:p>
      <w:pPr>
        <w:pStyle w:val="小标题"/>
        <w:bidi w:val="0"/>
        <w:rPr>
          <w:shd w:val="clear" w:color="auto" w:fill="ffffff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hd w:val="clear" w:color="auto" w:fill="ffffff"/>
          <w:rtl w:val="0"/>
          <w:lang w:val="zh-CN" w:eastAsia="zh-CN"/>
        </w:rPr>
        <w:t>延伸概念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ja-JP" w:eastAsia="ja-JP"/>
          <w14:textFill>
            <w14:solidFill>
              <w14:srgbClr w14:val="555555"/>
            </w14:solidFill>
          </w14:textFill>
        </w:rPr>
        <w:t>幂等函数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指可以使用相同参数重复执行，并能获得相同结果的函数。这些函数不会影响系统状态，也不用担心重复执行会对系统造成改变。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XA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XA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是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一个两阶段提交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的</w:t>
      </w:r>
      <w:r>
        <w:rPr>
          <w:rFonts w:eastAsia="PingFang SC Semibold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规范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。主要定义了（全局）事务管理器（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Transaction Manager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）和（局部）资源管理器（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Resource Manager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）之间的接口。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XA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规范中，事务管理器主要通过以下的接口对资源管理器进行管理</w:t>
      </w:r>
    </w:p>
    <w:p>
      <w:pPr>
        <w:pStyle w:val="默认"/>
        <w:numPr>
          <w:ilvl w:val="0"/>
          <w:numId w:val="10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xa_open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xa_close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：建立和关闭与资源管理器的连接。</w:t>
      </w:r>
    </w:p>
    <w:p>
      <w:pPr>
        <w:pStyle w:val="默认"/>
        <w:numPr>
          <w:ilvl w:val="0"/>
          <w:numId w:val="10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xa_start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xa_end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：开始和结束一个本地事务。</w:t>
      </w:r>
    </w:p>
    <w:p>
      <w:pPr>
        <w:pStyle w:val="默认"/>
        <w:numPr>
          <w:ilvl w:val="0"/>
          <w:numId w:val="10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xa_prepare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xa_commit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，</w:t>
      </w: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xa_rollback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：预提交、提交和回滚一个本地事务。</w:t>
      </w:r>
    </w:p>
    <w:p>
      <w:pPr>
        <w:pStyle w:val="默认"/>
        <w:numPr>
          <w:ilvl w:val="0"/>
          <w:numId w:val="10"/>
        </w:numPr>
        <w:bidi w:val="0"/>
        <w:spacing w:before="0"/>
        <w:ind w:right="0"/>
        <w:jc w:val="both"/>
        <w:rPr>
          <w:rFonts w:ascii="PingFang SC Regular" w:hAnsi="PingFang SC Regular"/>
          <w:outline w:val="0"/>
          <w:color w:val="545454"/>
          <w:sz w:val="28"/>
          <w:szCs w:val="28"/>
          <w:rtl w:val="0"/>
          <w:lang w:val="en-US"/>
          <w14:textFill>
            <w14:solidFill>
              <w14:srgbClr w14:val="555555"/>
            </w14:solidFill>
          </w14:textFill>
        </w:rPr>
      </w:pPr>
      <w:r>
        <w:rPr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xa_recover</w:t>
      </w: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：回滚一个已进行预提交的事务。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436879</wp:posOffset>
            </wp:positionV>
            <wp:extent cx="4058897" cy="246387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897" cy="2463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2297993</wp:posOffset>
            </wp:positionV>
            <wp:extent cx="4012939" cy="19124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939" cy="1912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Fonts w:eastAsia="PingFang SC Regular" w:hint="eastAsia"/>
          <w:outline w:val="0"/>
          <w:color w:val="545454"/>
          <w:sz w:val="28"/>
          <w:szCs w:val="28"/>
          <w:shd w:val="clear" w:color="auto" w:fill="ffffff"/>
          <w:rtl w:val="0"/>
          <w:lang w:val="zh-CN" w:eastAsia="zh-CN"/>
          <w14:textFill>
            <w14:solidFill>
              <w14:srgbClr w14:val="555555"/>
            </w14:solidFill>
          </w14:textFill>
        </w:rPr>
        <w:t>参考</w:t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begin" w:fldLock="0"/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instrText xml:space="preserve"> HYPERLINK "http://www.jasongj.com/big_data/two_phase_commit/"</w:instrText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separate" w:fldLock="0"/>
      </w:r>
      <w:r>
        <w:rPr>
          <w:rStyle w:val="Hyperlink.0"/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http://www.jasongj.com/big_data/two_phase_commit/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begin" w:fldLock="0"/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instrText xml:space="preserve"> HYPERLINK "https://xiaomi-info.github.io/2020/01/02/distributed-transaction/"</w:instrText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separate" w:fldLock="0"/>
      </w:r>
      <w:r>
        <w:rPr>
          <w:rStyle w:val="Hyperlink.0"/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https://xiaomi-info.github.io/2020/01/02/distributed-transaction/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begin" w:fldLock="0"/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instrText xml:space="preserve"> HYPERLINK "https://zhuanlan.zhihu.com/p/93841158"</w:instrText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separate" w:fldLock="0"/>
      </w:r>
      <w:r>
        <w:rPr>
          <w:rStyle w:val="Hyperlink.0"/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t>https://zhuanlan.zhihu.com/p/93841158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begin" w:fldLock="0"/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instrText xml:space="preserve"> HYPERLINK "https://tech.antfin.com/docs/2/46887"</w:instrText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separate" w:fldLock="0"/>
      </w:r>
      <w:r>
        <w:rPr>
          <w:rStyle w:val="Hyperlink.0"/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de-DE"/>
          <w14:textFill>
            <w14:solidFill>
              <w14:srgbClr w14:val="555555"/>
            </w14:solidFill>
          </w14:textFill>
        </w:rPr>
        <w:t>https://tech.antfin.com/docs/2/46887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begin" w:fldLock="0"/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instrText xml:space="preserve"> HYPERLINK "http://seata.io/zh-cn/blog/tcc-mode-design-principle.html"</w:instrText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separate" w:fldLock="0"/>
      </w:r>
      <w:r>
        <w:rPr>
          <w:rStyle w:val="Hyperlink.0"/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http://seata.io/zh-cn/blog/tcc-mode-design-principle.html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begin" w:fldLock="0"/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instrText xml:space="preserve"> HYPERLINK "https://juejin.im/post/6844903960499732488"</w:instrText>
      </w:r>
      <w:r>
        <w:rPr>
          <w:rStyle w:val="Hyperlink.0"/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separate" w:fldLock="0"/>
      </w:r>
      <w:r>
        <w:rPr>
          <w:rStyle w:val="Hyperlink.0"/>
          <w:rFonts w:ascii="PingFang SC Regular" w:hAnsi="PingFang SC Regular"/>
          <w:outline w:val="0"/>
          <w:color w:val="545454"/>
          <w:sz w:val="28"/>
          <w:szCs w:val="28"/>
          <w:shd w:val="clear" w:color="auto" w:fill="ffffff"/>
          <w:rtl w:val="0"/>
          <w:lang w:val="en-US"/>
          <w14:textFill>
            <w14:solidFill>
              <w14:srgbClr w14:val="555555"/>
            </w14:solidFill>
          </w14:textFill>
        </w:rPr>
        <w:t>https://juejin.im/post/6844903960499732488</w:t>
      </w: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PingFang SC Regular" w:cs="PingFang SC Regular" w:hAnsi="PingFang SC Regular" w:eastAsia="PingFang SC Regular"/>
          <w:outline w:val="0"/>
          <w:color w:val="545454"/>
          <w:sz w:val="28"/>
          <w:szCs w:val="28"/>
          <w:shd w:val="clear" w:color="auto" w:fill="ffffff"/>
          <w:rtl w:val="0"/>
          <w14:textFill>
            <w14:solidFill>
              <w14:srgbClr w14:val="555555"/>
            </w14:solidFill>
          </w14:textFill>
        </w:rPr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PingFang SC Regular">
    <w:charset w:val="00"/>
    <w:family w:val="roman"/>
    <w:pitch w:val="default"/>
  </w:font>
  <w:font w:name="Menlo Regular">
    <w:charset w:val="00"/>
    <w:family w:val="roman"/>
    <w:pitch w:val="default"/>
  </w:font>
  <w:font w:name="PingFang SC Semibold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大项目符号"/>
  </w:abstractNum>
  <w:abstractNum w:abstractNumId="1">
    <w:multiLevelType w:val="hybridMultilevel"/>
    <w:styleLink w:val="大项目符号"/>
    <w:lvl w:ilvl="0">
      <w:start w:val="1"/>
      <w:numFmt w:val="bullet"/>
      <w:suff w:val="tab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">
    <w:multiLevelType w:val="hybridMultilevel"/>
    <w:numStyleLink w:val="项目符号"/>
  </w:abstractNum>
  <w:abstractNum w:abstractNumId="3">
    <w:multiLevelType w:val="hybridMultilevel"/>
    <w:styleLink w:val="项目符号"/>
    <w:lvl w:ilvl="0">
      <w:start w:val="1"/>
      <w:numFmt w:val="bullet"/>
      <w:suff w:val="tab"/>
      <w:lvlText w:val="•"/>
      <w:lvlJc w:val="left"/>
      <w:pPr>
        <w:ind w:left="758" w:hanging="538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78" w:hanging="538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98" w:hanging="538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418" w:hanging="538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38" w:hanging="538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58" w:hanging="538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78" w:hanging="538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98" w:hanging="538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518" w:hanging="538"/>
      </w:pPr>
      <w:rPr>
        <w:rFonts w:ascii="Menlo Regular" w:cs="Menlo Regular" w:hAnsi="Menlo Regular" w:eastAsia="Menlo Regula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545454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>
    <w:multiLevelType w:val="hybridMultilevel"/>
    <w:numStyleLink w:val="带圆圈编号"/>
  </w:abstractNum>
  <w:abstractNum w:abstractNumId="5">
    <w:multiLevelType w:val="hybridMultilevel"/>
    <w:styleLink w:val="带圆圈编号"/>
    <w:lvl w:ilvl="0">
      <w:start w:val="1"/>
      <w:numFmt w:val="decimalEnclosedCircle"/>
      <w:suff w:val="tab"/>
      <w:lvlText w:val="%1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EnclosedCircle"/>
      <w:suff w:val="tab"/>
      <w:lvlText w:val="%2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EnclosedCircle"/>
      <w:suff w:val="tab"/>
      <w:lvlText w:val="%3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EnclosedCircle"/>
      <w:suff w:val="tab"/>
      <w:lvlText w:val="%4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EnclosedCircle"/>
      <w:suff w:val="tab"/>
      <w:lvlText w:val="%5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EnclosedCircle"/>
      <w:suff w:val="tab"/>
      <w:lvlText w:val="%6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EnclosedCircle"/>
      <w:suff w:val="tab"/>
      <w:lvlText w:val="%7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EnclosedCircle"/>
      <w:suff w:val="tab"/>
      <w:lvlText w:val="%8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EnclosedCircle"/>
      <w:suff w:val="tab"/>
      <w:lvlText w:val="%9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2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5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4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4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2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545454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54545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54545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54545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54545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54545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54545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545454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545454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小标题">
    <w:name w:val="小标题"/>
    <w:next w:val="正文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Arial Unicode MS" w:cs="Arial Unicode MS" w:hAnsi="Arial Unicode MS" w:eastAsia="Helvetica Neue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.0">
    <w:name w:val="正文"/>
    <w:next w:val="正文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ja-JP" w:eastAsia="ja-JP"/>
      <w14:textOutline>
        <w14:noFill/>
      </w14:textOutline>
      <w14:textFill>
        <w14:solidFill>
          <w14:srgbClr w14:val="000000"/>
        </w14:solidFill>
      </w14:textFill>
    </w:rPr>
  </w:style>
  <w:style w:type="numbering" w:styleId="大项目符号">
    <w:name w:val="大项目符号"/>
    <w:pPr>
      <w:numPr>
        <w:numId w:val="1"/>
      </w:numPr>
    </w:pPr>
  </w:style>
  <w:style w:type="numbering" w:styleId="项目符号">
    <w:name w:val="项目符号"/>
    <w:pPr>
      <w:numPr>
        <w:numId w:val="3"/>
      </w:numPr>
    </w:pPr>
  </w:style>
  <w:style w:type="numbering" w:styleId="带圆圈编号">
    <w:name w:val="带圆圈编号"/>
    <w:pPr>
      <w:numPr>
        <w:numId w:val="6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