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/>
        <w:ind w:left="0" w:right="0" w:firstLine="0"/>
        <w:jc w:val="center"/>
        <w:rPr>
          <w:b w:val="1"/>
          <w:bCs w:val="1"/>
          <w:outline w:val="0"/>
          <w:color w:val="2e2e2e"/>
          <w:sz w:val="52"/>
          <w:szCs w:val="5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52"/>
          <w:szCs w:val="5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即时通讯音视频开发</w:t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视频编解码之编码基础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编码层次的组成</w:t>
      </w:r>
      <w:r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368300</wp:posOffset>
            </wp:positionV>
            <wp:extent cx="6120057" cy="39419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41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560" w:right="0" w:hanging="56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序列</w:t>
      </w:r>
      <w:r>
        <w:rPr>
          <w:rFonts w:ascii="Helvetica Neue" w:hAnsi="Helvetica Neue"/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是指一段连续编码的并具有相同参数的视频图像</w:t>
      </w:r>
    </w:p>
    <w:p>
      <w:pPr>
        <w:pStyle w:val="默认"/>
        <w:bidi w:val="0"/>
        <w:spacing w:before="0"/>
        <w:ind w:left="0" w:right="0" w:firstLine="0"/>
        <w:jc w:val="left"/>
        <w:rPr>
          <w:b w:val="0"/>
          <w:b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序列起始码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是指专有的一段比特串，标识一个序列的压缩数据的开始。如</w:t>
      </w:r>
      <w:r>
        <w:rPr>
          <w:rFonts w:ascii="Helvetica Neue" w:hAnsi="Helvetica Neue"/>
          <w:b w:val="0"/>
          <w:bCs w:val="0"/>
          <w:outline w:val="0"/>
          <w:color w:val="666666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  <w:t>MPEG-2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的序列起始码为十六进制数</w:t>
      </w:r>
      <w:r>
        <w:rPr>
          <w:rFonts w:ascii="Helvetica Neue" w:hAnsi="Helvetica Neue"/>
          <w:b w:val="0"/>
          <w:b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000001(B3)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序列头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是指记录序列信息，包含档次（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Profile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），级别（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Level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），宽度，高度，是否是逐行序列，帧率等内容。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序列结束码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是指专有的一段比特串，标识该序列的压缩数据的结束。如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  <w:t>MPEG-2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的序列结束码为十六进制数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000001(B7)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图像组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编码对象</w:t>
      </w:r>
      <w:r>
        <w:rPr>
          <w:b w:val="1"/>
          <w:bCs w:val="1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266402</wp:posOffset>
            </wp:positionV>
            <wp:extent cx="2911593" cy="19056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93" cy="1905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编码结构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图像起始码：专有的一段比特串，标识一个图像的压缩数据的开始。如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  <w:t>MPEG-2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的图像起始码为十六进制数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000001(00)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图像。图像分块编码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图像头：记录图像信息。包含图像编码类型，图像距离，图像编码结构，图像是否为逐行扫描。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条带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条带起始码：专有的一段比特串，标识一个条带的压缩数据的开始。如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  <w:t>MPEG-2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的条带起始码为十六进制数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000001(0~AF)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条带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（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：一个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包含一帧图像的部分或全部数据，换言之，一帧视频图像可以编码为一个或若干个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。一个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最少包含一个宏块，最多包含整帧图像的数据。在不同的编码实现中，同一帧图像中所构成的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数目不一定相同。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条带头：记录当前图像的相关信息。含条带位置，条带量化参数，宏块编码技术标识等。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宏块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宏块：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16x16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的像素块（对亮度而言）。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宏块内容：宏块编码类型，编码模式，参考帧索引，运动矢量信息，宏块编码系数等。</w:t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块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8x8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TW" w:eastAsia="zh-TW"/>
          <w14:textFill>
            <w14:solidFill>
              <w14:srgbClr w14:val="666666"/>
            </w14:solidFill>
          </w14:textFill>
        </w:rPr>
        <w:t>或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4x4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块的变换量化系数的熵编码数据。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CBP (Coded Block Patten)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：用来指示块的变换量化系数是否全为零。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对于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YUV(4:2:0)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编码，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pt-PT"/>
          <w14:textFill>
            <w14:solidFill>
              <w14:srgbClr w14:val="666666"/>
            </w14:solidFill>
          </w14:textFill>
        </w:rPr>
        <w:t>CBP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ja-JP" w:eastAsia="ja-JP"/>
          <w14:textFill>
            <w14:solidFill>
              <w14:srgbClr w14:val="666666"/>
            </w14:solidFill>
          </w14:textFill>
        </w:rPr>
        <w:t>通常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比特长，每个比特对应一个块，当某一块的变换量化系数全为零时，其对应比特位值为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，否则为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每个块的变换量化系数的最后用一个</w:t>
      </w:r>
      <w:r>
        <w:rPr>
          <w:rFonts w:ascii="Helvetica Neue" w:hAnsi="Helvetica Neue"/>
          <w:outline w:val="0"/>
          <w:color w:val="666666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EOB (End of Block)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符号来标识。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628230</wp:posOffset>
            </wp:positionV>
            <wp:extent cx="6120057" cy="32300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30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560" w:right="0" w:hanging="560"/>
        <w:jc w:val="left"/>
        <w:rPr>
          <w:b w:val="1"/>
          <w:bCs w:val="1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视频编解码关键技术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f522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A0522D"/>
            </w14:solidFill>
          </w14:textFill>
        </w:rPr>
        <w:t>预测：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通过帧内预测和帧间预测降低视频图像的空间冗余和时间冗余。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空间预测：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利用图像空间相邻像素的相关性来预测的方法</w:t>
      </w:r>
    </w:p>
    <w:p>
      <w:pPr>
        <w:pStyle w:val="表格样式 2"/>
        <w:numPr>
          <w:ilvl w:val="0"/>
          <w:numId w:val="6"/>
        </w:numPr>
        <w:bidi w:val="0"/>
        <w:ind w:right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numPr>
          <w:ilvl w:val="0"/>
          <w:numId w:val="7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帧内预测技术：利用当前编码块周围已经重构出来的像素预测当前块</w:t>
      </w:r>
    </w:p>
    <w:p>
      <w:pPr>
        <w:pStyle w:val="表格样式 2"/>
        <w:numPr>
          <w:ilvl w:val="0"/>
          <w:numId w:val="7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Intra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图像编码（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帧）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时间预测：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利用时间上相邻图像的相关性来预测的方法</w:t>
      </w:r>
    </w:p>
    <w:p>
      <w:pPr>
        <w:pStyle w:val="表格样式 2"/>
        <w:numPr>
          <w:ilvl w:val="0"/>
          <w:numId w:val="6"/>
        </w:numPr>
        <w:bidi w:val="0"/>
        <w:ind w:right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numPr>
          <w:ilvl w:val="0"/>
          <w:numId w:val="7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帧间预测：运动估计（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66666"/>
            </w14:solidFill>
          </w14:textFill>
        </w:rPr>
        <w:t>Motion Estimation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），运动补偿（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66666"/>
            </w14:solidFill>
          </w14:textFill>
        </w:rPr>
        <w:t>Motion Compensation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MC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）</w:t>
      </w:r>
    </w:p>
    <w:p>
      <w:pPr>
        <w:pStyle w:val="表格样式 2"/>
        <w:numPr>
          <w:ilvl w:val="0"/>
          <w:numId w:val="7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图像编码：前向预测编码图像（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帧），双向预测编码图像（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帧）</w:t>
      </w: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f522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A0522D"/>
            </w14:solidFill>
          </w14:textFill>
        </w:rPr>
        <w:t>变换：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通过从时域到频域的变换，去除相邻数据之间的相关性，即去除空间冗余。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f522c"/>
          <w:sz w:val="28"/>
          <w:szCs w:val="28"/>
          <w:shd w:val="clear" w:color="auto" w:fill="ffffff"/>
          <w:rtl w:val="0"/>
          <w14:textFill>
            <w14:solidFill>
              <w14:srgbClr w14:val="A0522D"/>
            </w14:solidFill>
          </w14:textFill>
        </w:rPr>
        <w:t>量化：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通过用更粗糙的数据表示精细的数据来降低编码的数据量，或者通过去除人眼不敏感的信息来降低编码数据量。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31710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71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2082730</wp:posOffset>
            </wp:positionV>
            <wp:extent cx="6120057" cy="3665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65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f522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A0522D"/>
            </w14:solidFill>
          </w14:textFill>
        </w:rPr>
        <w:t>扫描：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将二维变换量化数据重新组织成一维的数据序列。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f522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A0522D"/>
            </w14:solidFill>
          </w14:textFill>
        </w:rPr>
        <w:t>熵编码：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根据待编码数据的概率特性减少编码冗余。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begin" w:fldLock="0"/>
      </w: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instrText xml:space="preserve"> HYPERLINK "http://www.52im.net/thread-232-1-2.html"</w:instrText>
      </w: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http://www.52im.net/thread-232-1-2.html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begin" w:fldLock="0"/>
      </w: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instrText xml:space="preserve"> HYPERLINK "https://www.jianshu.com/p/c38506f50eb7"</w:instrText>
      </w:r>
      <w:r>
        <w:rPr>
          <w:rStyle w:val="Hyperlink.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https://www.jianshu.com/p/c38506f50eb7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fldChar w:fldCharType="end" w:fldLock="0"/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6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8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0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2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4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6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8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01" w:hanging="3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9f522c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7" w:hanging="46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