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1C3AE">
      <w:pPr>
        <w:spacing w:before="1600"/>
      </w:pPr>
    </w:p>
    <w:p w14:paraId="61300E8E">
      <w:pPr>
        <w:pStyle w:val="12"/>
      </w:pPr>
      <w:r>
        <w:t>体检系统升级施工部署文档</w:t>
      </w:r>
    </w:p>
    <w:p w14:paraId="6AF1C78B">
      <w:pPr>
        <w:pStyle w:val="9"/>
      </w:pPr>
      <w:r>
        <w:rPr>
          <w:rFonts w:hint="eastAsia"/>
          <w:lang w:eastAsia="zh-CN"/>
        </w:rPr>
        <w:t>体检</w:t>
      </w:r>
      <w:r>
        <w:rPr>
          <w:rFonts w:hint="eastAsia"/>
          <w:lang w:val="en-US" w:eastAsia="zh-CN"/>
        </w:rPr>
        <w:t>.</w:t>
      </w:r>
      <w:r>
        <w:t>施工文档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12B7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A313"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文档名称</w:t>
            </w:r>
          </w:p>
        </w:tc>
        <w:tc>
          <w:tcPr>
            <w:tcW w:w="6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8548">
            <w:pPr>
              <w:jc w:val="left"/>
            </w:pPr>
            <w:r>
              <w:rPr>
                <w:b w:val="0"/>
                <w:sz w:val="18"/>
              </w:rPr>
              <w:t>黄陵矿医院体检系统升级施工部署文档</w:t>
            </w:r>
          </w:p>
        </w:tc>
      </w:tr>
      <w:tr w14:paraId="22BB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F1D8"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项目 / 系统名称</w:t>
            </w:r>
          </w:p>
        </w:tc>
        <w:tc>
          <w:tcPr>
            <w:tcW w:w="6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185B">
            <w:pPr>
              <w:jc w:val="left"/>
            </w:pPr>
            <w:r>
              <w:rPr>
                <w:b w:val="0"/>
                <w:sz w:val="18"/>
              </w:rPr>
              <w:t>亚创体检系统</w:t>
            </w:r>
          </w:p>
        </w:tc>
      </w:tr>
      <w:tr w14:paraId="1226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A372"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6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BD59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V3.0-20260616</w:t>
            </w:r>
          </w:p>
        </w:tc>
      </w:tr>
      <w:tr w14:paraId="61A6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C065"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编制日期</w:t>
            </w:r>
          </w:p>
        </w:tc>
        <w:tc>
          <w:tcPr>
            <w:tcW w:w="6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5ABA7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2026-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09-14</w:t>
            </w:r>
          </w:p>
        </w:tc>
      </w:tr>
    </w:tbl>
    <w:p w14:paraId="626FAB4B">
      <w:r>
        <w:br w:type="page"/>
      </w:r>
    </w:p>
    <w:p w14:paraId="37138BFC">
      <w:pPr>
        <w:pStyle w:val="2"/>
      </w:pPr>
      <w:r>
        <w:t>修订记录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1360"/>
        <w:gridCol w:w="1771"/>
        <w:gridCol w:w="4560"/>
      </w:tblGrid>
      <w:tr w14:paraId="33C7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6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94FB9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版本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E680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日期</w:t>
            </w:r>
          </w:p>
        </w:tc>
        <w:tc>
          <w:tcPr>
            <w:tcW w:w="17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8DBF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修订人</w:t>
            </w:r>
          </w:p>
        </w:tc>
        <w:tc>
          <w:tcPr>
            <w:tcW w:w="4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ED28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修订说明</w:t>
            </w:r>
          </w:p>
        </w:tc>
      </w:tr>
      <w:tr w14:paraId="58D6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F09EC">
            <w:pPr>
              <w:jc w:val="left"/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V3.0-20260616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F142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2026-0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9-14</w:t>
            </w:r>
          </w:p>
        </w:tc>
        <w:tc>
          <w:tcPr>
            <w:tcW w:w="17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0078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刘熙</w:t>
            </w:r>
          </w:p>
        </w:tc>
        <w:tc>
          <w:tcPr>
            <w:tcW w:w="4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D1D5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延安新区现场需求、乌审旗众康医院现场需求</w:t>
            </w:r>
          </w:p>
        </w:tc>
      </w:tr>
      <w:tr w14:paraId="4862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F566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V3.0-20260616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38B7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2026-09-15</w:t>
            </w:r>
          </w:p>
        </w:tc>
        <w:tc>
          <w:tcPr>
            <w:tcW w:w="17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2B792">
            <w:pPr>
              <w:jc w:val="left"/>
              <w:rPr>
                <w:rFonts w:hint="eastAsia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李凯</w:t>
            </w:r>
          </w:p>
        </w:tc>
        <w:tc>
          <w:tcPr>
            <w:tcW w:w="4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80ED">
            <w:pPr>
              <w:jc w:val="left"/>
              <w:rPr>
                <w:rFonts w:hint="default" w:eastAsia="思源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DBQuery配置</w:t>
            </w:r>
          </w:p>
        </w:tc>
      </w:tr>
      <w:tr w14:paraId="04CB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9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234B">
            <w:pPr>
              <w:jc w:val="left"/>
            </w:pP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35D4">
            <w:pPr>
              <w:jc w:val="left"/>
            </w:pPr>
          </w:p>
        </w:tc>
        <w:tc>
          <w:tcPr>
            <w:tcW w:w="177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DE2B">
            <w:pPr>
              <w:jc w:val="left"/>
            </w:pPr>
          </w:p>
        </w:tc>
        <w:tc>
          <w:tcPr>
            <w:tcW w:w="4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5B82">
            <w:pPr>
              <w:jc w:val="left"/>
            </w:pPr>
          </w:p>
        </w:tc>
      </w:tr>
    </w:tbl>
    <w:p w14:paraId="63F0F982">
      <w:r>
        <w:br w:type="page"/>
      </w:r>
    </w:p>
    <w:p w14:paraId="55BEFD39">
      <w:pPr>
        <w:pStyle w:val="2"/>
      </w:pPr>
      <w:r>
        <w:t>目录</w:t>
      </w:r>
    </w:p>
    <w:sdt>
      <w:sdtPr>
        <w:alias w:val="目录"/>
        <w:id w:val="147481090"/>
        <w:showingPlcHdr/>
      </w:sdtPr>
      <w:sdtContent>
        <w:p w14:paraId="2DDA6D04">
          <w:r>
            <w:rPr>
              <w:rFonts w:hint="eastAsia"/>
              <w:lang w:eastAsia="zh-CN"/>
            </w:rPr>
            <w:t xml:space="preserve">     </w:t>
          </w:r>
        </w:p>
      </w:sdtContent>
    </w:sdt>
    <w:p w14:paraId="5F674A5B">
      <w:r>
        <w:br w:type="page"/>
      </w:r>
    </w:p>
    <w:p w14:paraId="07615E33">
      <w:pPr>
        <w:pStyle w:val="2"/>
      </w:pPr>
      <w:r>
        <w:t>文档说明</w:t>
      </w:r>
    </w:p>
    <w:p w14:paraId="3B97F7A5">
      <w:pPr>
        <w:pStyle w:val="3"/>
      </w:pPr>
      <w:r>
        <w:t>编制目的</w:t>
      </w:r>
    </w:p>
    <w:p w14:paraId="3988D827">
      <w:r>
        <w:rPr>
          <w:b w:val="0"/>
          <w:i w:val="0"/>
        </w:rPr>
        <w:t>规范体检系统本次升级的完整施工过程，明确升级范围、执行步骤</w:t>
      </w:r>
    </w:p>
    <w:p w14:paraId="4DFAEDC3">
      <w:pPr>
        <w:pStyle w:val="2"/>
      </w:pPr>
      <w:r>
        <w:t>1. 项目概述</w:t>
      </w:r>
    </w:p>
    <w:p w14:paraId="71A00239">
      <w:pPr>
        <w:pStyle w:val="3"/>
      </w:pPr>
      <w:r>
        <w:t>1.1 项目背景</w:t>
      </w:r>
    </w:p>
    <w:p w14:paraId="0817A2EB">
      <w:r>
        <w:rPr>
          <w:rFonts w:hint="eastAsia"/>
          <w:lang w:val="en-US" w:eastAsia="zh-CN"/>
        </w:rPr>
        <w:t>延安新区现场需求、乌审旗众康医院现场需求</w:t>
      </w:r>
    </w:p>
    <w:p w14:paraId="6A5AD8ED"/>
    <w:p w14:paraId="125B2B98">
      <w:pPr>
        <w:pStyle w:val="2"/>
      </w:pPr>
      <w:r>
        <w:rPr>
          <w:rFonts w:hint="eastAsia"/>
          <w:lang w:val="en-US" w:eastAsia="zh-CN"/>
        </w:rPr>
        <w:t>2</w:t>
      </w:r>
      <w:r>
        <w:t>. 施工准备</w:t>
      </w:r>
    </w:p>
    <w:p w14:paraId="0BBB97D2">
      <w:pPr>
        <w:pStyle w:val="3"/>
      </w:pPr>
      <w:r>
        <w:rPr>
          <w:rFonts w:hint="eastAsia"/>
          <w:lang w:val="en-US" w:eastAsia="zh-CN"/>
        </w:rPr>
        <w:t>2</w:t>
      </w:r>
      <w:r>
        <w:t>.1 软件与版本要求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400"/>
        <w:gridCol w:w="3360"/>
      </w:tblGrid>
      <w:tr w14:paraId="1838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B12CD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4D5F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版本要求</w:t>
            </w:r>
          </w:p>
        </w:tc>
        <w:tc>
          <w:tcPr>
            <w:tcW w:w="3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45B0"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571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6AD9"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运行时</w:t>
            </w:r>
          </w:p>
        </w:tc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C7A9">
            <w:pPr>
              <w:jc w:val="left"/>
              <w:rPr>
                <w:rFonts w:hint="eastAsia" w:eastAsia="思源黑体"/>
                <w:lang w:val="en-US" w:eastAsia="zh-CN"/>
              </w:rPr>
            </w:pPr>
            <w:r>
              <w:rPr>
                <w:b w:val="0"/>
                <w:sz w:val="18"/>
              </w:rPr>
              <w:t>JDK 8</w:t>
            </w:r>
          </w:p>
        </w:tc>
        <w:tc>
          <w:tcPr>
            <w:tcW w:w="3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A253">
            <w:pPr>
              <w:jc w:val="left"/>
            </w:pPr>
            <w:r>
              <w:rPr>
                <w:b w:val="0"/>
                <w:sz w:val="18"/>
              </w:rPr>
              <w:t>已安装则免安装，需配置 JAVA_HOME、classpath、Path</w:t>
            </w:r>
          </w:p>
        </w:tc>
      </w:tr>
      <w:tr w14:paraId="12DA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F786">
            <w:pPr>
              <w:jc w:val="left"/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数据库</w:t>
            </w:r>
          </w:p>
        </w:tc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E916">
            <w:pPr>
              <w:jc w:val="left"/>
            </w:pPr>
            <w:r>
              <w:rPr>
                <w:b w:val="0"/>
                <w:sz w:val="18"/>
              </w:rPr>
              <w:t>SQL Server</w:t>
            </w:r>
          </w:p>
        </w:tc>
        <w:tc>
          <w:tcPr>
            <w:tcW w:w="3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61E4">
            <w:pPr>
              <w:jc w:val="left"/>
            </w:pPr>
          </w:p>
        </w:tc>
      </w:tr>
      <w:tr w14:paraId="73DC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3F221C">
            <w:pPr>
              <w:spacing w:before="20" w:after="20"/>
            </w:pPr>
            <w:r>
              <w:rPr>
                <w:b w:val="0"/>
                <w:sz w:val="18"/>
              </w:rPr>
              <w:t>Web 服务</w:t>
            </w:r>
          </w:p>
        </w:tc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E8A9B7">
            <w:pPr>
              <w:spacing w:before="20" w:after="20"/>
            </w:pPr>
            <w:r>
              <w:rPr>
                <w:b w:val="0"/>
                <w:sz w:val="18"/>
              </w:rPr>
              <w:t>Nginx</w:t>
            </w:r>
          </w:p>
        </w:tc>
        <w:tc>
          <w:tcPr>
            <w:tcW w:w="3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EBC4">
            <w:pPr>
              <w:jc w:val="left"/>
            </w:pPr>
            <w:r>
              <w:rPr>
                <w:b w:val="0"/>
                <w:sz w:val="18"/>
              </w:rPr>
              <w:t>前端静态资源与后端反向代理</w:t>
            </w:r>
          </w:p>
        </w:tc>
      </w:tr>
      <w:tr w14:paraId="61EB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82AE0E">
            <w:pPr>
              <w:spacing w:before="20" w:after="20"/>
              <w:rPr>
                <w:rFonts w:ascii="Times New Roman" w:hAnsi="Times New Roman" w:eastAsia="思源黑体" w:cs="Times New Roman"/>
                <w:sz w:val="22"/>
                <w:szCs w:val="22"/>
              </w:rPr>
            </w:pPr>
            <w:r>
              <w:rPr>
                <w:b w:val="0"/>
                <w:sz w:val="18"/>
              </w:rPr>
              <w:t>服务守护</w:t>
            </w:r>
          </w:p>
        </w:tc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D361D7">
            <w:pPr>
              <w:spacing w:before="20" w:after="20"/>
              <w:rPr>
                <w:rFonts w:ascii="Times New Roman" w:hAnsi="Times New Roman" w:eastAsia="思源黑体" w:cs="Times New Roman"/>
                <w:sz w:val="22"/>
                <w:szCs w:val="22"/>
              </w:rPr>
            </w:pPr>
            <w:r>
              <w:rPr>
                <w:b w:val="0"/>
                <w:sz w:val="18"/>
              </w:rPr>
              <w:t>AlwaysUp</w:t>
            </w:r>
          </w:p>
        </w:tc>
        <w:tc>
          <w:tcPr>
            <w:tcW w:w="3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843F">
            <w:pPr>
              <w:jc w:val="left"/>
              <w:rPr>
                <w:rFonts w:hint="eastAsia" w:eastAsia="思源黑体"/>
                <w:lang w:eastAsia="zh-CN"/>
              </w:rPr>
            </w:pPr>
            <w:r>
              <w:rPr>
                <w:rFonts w:hint="eastAsia"/>
                <w:lang w:eastAsia="zh-CN"/>
              </w:rPr>
              <w:t>后端程序包服务注册</w:t>
            </w:r>
          </w:p>
        </w:tc>
      </w:tr>
      <w:tr w14:paraId="00D2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96816F">
            <w:pPr>
              <w:spacing w:before="20" w:after="20"/>
              <w:rPr>
                <w:rFonts w:ascii="Times New Roman" w:hAnsi="Times New Roman" w:eastAsia="思源黑体" w:cs="Times New Roman"/>
                <w:sz w:val="22"/>
                <w:szCs w:val="22"/>
              </w:rPr>
            </w:pPr>
            <w:r>
              <w:rPr>
                <w:b w:val="0"/>
                <w:sz w:val="18"/>
              </w:rPr>
              <w:t>客户端</w:t>
            </w:r>
          </w:p>
        </w:tc>
        <w:tc>
          <w:tcPr>
            <w:tcW w:w="3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65DD94">
            <w:pPr>
              <w:spacing w:before="20" w:after="20"/>
              <w:rPr>
                <w:rFonts w:ascii="Times New Roman" w:hAnsi="Times New Roman" w:eastAsia="思源黑体" w:cs="Times New Roman"/>
                <w:sz w:val="22"/>
                <w:szCs w:val="22"/>
              </w:rPr>
            </w:pPr>
            <w:r>
              <w:rPr>
                <w:b w:val="0"/>
                <w:sz w:val="18"/>
              </w:rPr>
              <w:t>谷歌浏览器（建议）</w:t>
            </w:r>
          </w:p>
        </w:tc>
        <w:tc>
          <w:tcPr>
            <w:tcW w:w="3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4B87">
            <w:pPr>
              <w:jc w:val="left"/>
              <w:rPr>
                <w:rFonts w:hint="eastAsia"/>
                <w:lang w:eastAsia="zh-CN"/>
              </w:rPr>
            </w:pPr>
          </w:p>
        </w:tc>
      </w:tr>
    </w:tbl>
    <w:p w14:paraId="004B61E6">
      <w:pPr>
        <w:pStyle w:val="3"/>
      </w:pPr>
      <w:r>
        <w:rPr>
          <w:rFonts w:hint="eastAsia"/>
          <w:lang w:val="en-US" w:eastAsia="zh-CN"/>
        </w:rPr>
        <w:t>2</w:t>
      </w:r>
      <w:r>
        <w:t>.2 目录与账号规范</w:t>
      </w:r>
    </w:p>
    <w:p w14:paraId="50D5B1A3">
      <w:pPr>
        <w:pStyle w:val="19"/>
        <w:numPr>
          <w:ilvl w:val="0"/>
          <w:numId w:val="1"/>
        </w:numPr>
      </w:pPr>
      <w:r>
        <w:t>后端主程序目录：D:\Program Files\YCHProject\tjxt\（jar 包、config 文件夹、run.bat 同级放置）；</w:t>
      </w:r>
      <w:r>
        <w:rPr>
          <w:rFonts w:hint="eastAsia"/>
          <w:color w:val="C00000"/>
          <w:lang w:eastAsia="zh-CN"/>
        </w:rPr>
        <w:t>注意：黄陵矿医院目前体检D:\Software\YCHProject\</w:t>
      </w:r>
    </w:p>
    <w:p w14:paraId="1F6C4BA0">
      <w:pPr>
        <w:pStyle w:val="19"/>
        <w:numPr>
          <w:ilvl w:val="0"/>
          <w:numId w:val="1"/>
        </w:numPr>
      </w:pPr>
      <w:r>
        <w:t>报表程序目录：D:\Program Files\YCHProject\tjxt\jimu\（数据库为 jimureport，端口被占用时更换并同步前端 http.js）；</w:t>
      </w:r>
    </w:p>
    <w:p w14:paraId="5946CD08">
      <w:pPr>
        <w:pStyle w:val="19"/>
        <w:numPr>
          <w:ilvl w:val="0"/>
          <w:numId w:val="1"/>
        </w:numPr>
      </w:pPr>
      <w:r>
        <w:t>Nginx 目录：与 tjxt 平级，前端 PC 包放 html\TJXT\，移动端 H5 放 html\TJXTMobile\；</w:t>
      </w:r>
    </w:p>
    <w:p w14:paraId="53DAC3D0">
      <w:pPr>
        <w:pStyle w:val="19"/>
        <w:numPr>
          <w:ilvl w:val="0"/>
          <w:numId w:val="1"/>
        </w:numPr>
      </w:pPr>
      <w:r>
        <w:t>自定义文件路径：application.yml 中配置的 resourceFile（注意大小写），plugins、image 等资源放于其下；</w:t>
      </w:r>
    </w:p>
    <w:p w14:paraId="1D298BD4">
      <w:pPr>
        <w:pStyle w:val="19"/>
        <w:numPr>
          <w:ilvl w:val="0"/>
          <w:numId w:val="1"/>
        </w:numPr>
      </w:pPr>
      <w:r>
        <w:t>升级包统一存放于 D:\Program Files\YCHProject\upgrade\yyyyMMdd\，禁止直接覆盖原程序目录。</w:t>
      </w:r>
    </w:p>
    <w:p w14:paraId="316D93E0">
      <w:pPr>
        <w:pStyle w:val="2"/>
      </w:pPr>
      <w:r>
        <w:rPr>
          <w:rFonts w:hint="eastAsia"/>
          <w:lang w:val="en-US" w:eastAsia="zh-CN"/>
        </w:rPr>
        <w:t>3</w:t>
      </w:r>
      <w:r>
        <w:t>. 部署实施</w:t>
      </w:r>
    </w:p>
    <w:p w14:paraId="583B176C">
      <w:pPr>
        <w:pStyle w:val="3"/>
      </w:pPr>
      <w:r>
        <w:t>3.1 数据库脚本执行</w:t>
      </w:r>
    </w:p>
    <w:p w14:paraId="00D14675">
      <w:r>
        <w:rPr>
          <w:rFonts w:hint="eastAsia"/>
          <w:b w:val="0"/>
          <w:i w:val="0"/>
          <w:lang w:val="en-US" w:eastAsia="zh-CN"/>
        </w:rPr>
        <w:t>1.注意：</w:t>
      </w:r>
      <w:r>
        <w:rPr>
          <w:b w:val="0"/>
          <w:i w:val="0"/>
        </w:rPr>
        <w:t>本次脚本仅包含存储过程的 ALTER，不包含建表 / 加字段语句。</w:t>
      </w:r>
    </w:p>
    <w:p w14:paraId="6C661429">
      <w:pPr>
        <w:pStyle w:val="19"/>
        <w:numPr>
          <w:ilvl w:val="0"/>
          <w:numId w:val="0"/>
        </w:numPr>
        <w:rPr>
          <w:b w:val="0"/>
          <w:i w:val="0"/>
        </w:rPr>
      </w:pPr>
      <w:r>
        <w:rPr>
          <w:rFonts w:hint="eastAsia"/>
          <w:lang w:val="en-US" w:eastAsia="zh-CN"/>
        </w:rPr>
        <w:t>2.</w:t>
      </w:r>
      <w:r>
        <w:rPr>
          <w:b w:val="0"/>
          <w:i w:val="0"/>
        </w:rPr>
        <w:t>升级前必须完成</w:t>
      </w:r>
      <w:r>
        <w:rPr>
          <w:rFonts w:hint="eastAsia"/>
          <w:b w:val="0"/>
          <w:i w:val="0"/>
          <w:lang w:eastAsia="zh-CN"/>
        </w:rPr>
        <w:t>数据库</w:t>
      </w:r>
      <w:r>
        <w:rPr>
          <w:b w:val="0"/>
          <w:i w:val="0"/>
        </w:rPr>
        <w:t>备份</w:t>
      </w:r>
    </w:p>
    <w:p w14:paraId="64496C73">
      <w:pPr>
        <w:pStyle w:val="19"/>
        <w:numPr>
          <w:ilvl w:val="0"/>
          <w:numId w:val="0"/>
        </w:numPr>
      </w:pPr>
      <w:r>
        <w:rPr>
          <w:rFonts w:hint="eastAsia"/>
          <w:b w:val="0"/>
          <w:i w:val="0"/>
          <w:lang w:val="en-US" w:eastAsia="zh-CN"/>
        </w:rPr>
        <w:t>3.</w:t>
      </w:r>
      <w:r>
        <w:t>打开「升级脚本.sql」全选脚本内容执行</w:t>
      </w:r>
    </w:p>
    <w:p w14:paraId="3C40FD8E">
      <w:pPr>
        <w:pStyle w:val="3"/>
      </w:pPr>
      <w:r>
        <w:t>3.2 后端程序更新</w:t>
      </w:r>
    </w:p>
    <w:p w14:paraId="3C89594A">
      <w:pPr>
        <w:pStyle w:val="19"/>
        <w:numPr>
          <w:ilvl w:val="0"/>
          <w:numId w:val="2"/>
        </w:numPr>
      </w:pPr>
      <w:r>
        <w:t>在 AlwaysUp 中停止 tjxt 服务；</w:t>
      </w:r>
    </w:p>
    <w:p w14:paraId="1219AF63">
      <w:pPr>
        <w:pStyle w:val="19"/>
        <w:numPr>
          <w:ilvl w:val="0"/>
          <w:numId w:val="2"/>
        </w:numPr>
      </w:pPr>
      <w:r>
        <w:t>备份原 tjxt 目录下的 jar 包、config 文件夹、run.bat；</w:t>
      </w:r>
    </w:p>
    <w:p w14:paraId="22765E8B">
      <w:pPr>
        <w:pStyle w:val="19"/>
        <w:numPr>
          <w:ilvl w:val="0"/>
          <w:numId w:val="2"/>
        </w:numPr>
      </w:pPr>
      <w:r>
        <w:rPr>
          <w:rFonts w:hint="eastAsia"/>
          <w:lang w:val="en-US" w:eastAsia="zh-CN"/>
        </w:rPr>
        <w:t>application.yam增加</w:t>
      </w:r>
    </w:p>
    <w:p w14:paraId="0E44E3C1">
      <w:pPr>
        <w:pStyle w:val="11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自定义文件路径变量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file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path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E:/resourceFile/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allow-suffix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.jpg,.jpeg,.png,.pdf,.docx,.xlsx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resource-prefix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/resourceFile/</w:t>
      </w:r>
    </w:p>
    <w:p w14:paraId="48A4FD8A">
      <w:pPr>
        <w:pStyle w:val="19"/>
        <w:numPr>
          <w:ilvl w:val="0"/>
          <w:numId w:val="2"/>
        </w:numPr>
      </w:pPr>
      <w:r>
        <w:drawing>
          <wp:inline distT="0" distB="0" distL="114300" distR="114300">
            <wp:extent cx="5476875" cy="1038225"/>
            <wp:effectExtent l="0" t="0" r="952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6890">
      <w:pPr>
        <w:pStyle w:val="19"/>
        <w:numPr>
          <w:ilvl w:val="0"/>
          <w:numId w:val="2"/>
        </w:numPr>
      </w:pPr>
      <w:r>
        <w:t>将升级包中的 jar 包复制到 tjxt 目录（与 jar 同级）；</w:t>
      </w:r>
    </w:p>
    <w:p w14:paraId="42C66544">
      <w:pPr>
        <w:pStyle w:val="19"/>
        <w:numPr>
          <w:ilvl w:val="0"/>
          <w:numId w:val="2"/>
        </w:numPr>
      </w:pPr>
      <w:r>
        <w:t>在 AlwaysUp 中对 tjxt 执行 Restart 启动服务，观察窗口无异常报错；</w:t>
      </w:r>
    </w:p>
    <w:p w14:paraId="577CDDB9">
      <w:pPr>
        <w:pStyle w:val="19"/>
        <w:numPr>
          <w:ilvl w:val="0"/>
          <w:numId w:val="2"/>
        </w:numPr>
      </w:pPr>
      <w:r>
        <w:t>查看日志（/log 或程序目录日志）确认启动成功</w:t>
      </w:r>
      <w:r>
        <w:rPr>
          <w:rFonts w:hint="eastAsia"/>
          <w:lang w:eastAsia="zh-CN"/>
        </w:rPr>
        <w:t>。</w:t>
      </w:r>
    </w:p>
    <w:p w14:paraId="7316BBEB">
      <w:pPr>
        <w:pStyle w:val="3"/>
        <w:rPr>
          <w:rFonts w:hint="default"/>
          <w:lang w:val="en-US" w:eastAsia="zh-CN"/>
        </w:rPr>
      </w:pPr>
      <w:r>
        <w:t>3.3 前端程序更新</w:t>
      </w:r>
    </w:p>
    <w:p w14:paraId="097B946B">
      <w:pPr>
        <w:pStyle w:val="19"/>
        <w:numPr>
          <w:ilvl w:val="0"/>
          <w:numId w:val="3"/>
        </w:numPr>
        <w:rPr>
          <w:rFonts w:hint="eastAsia" w:eastAsia="思源黑体"/>
          <w:sz w:val="16"/>
          <w:szCs w:val="16"/>
          <w:lang w:val="en-US" w:eastAsia="zh-CN"/>
        </w:rPr>
      </w:pPr>
      <w:r>
        <w:rPr>
          <w:rFonts w:hint="eastAsia"/>
          <w:lang w:val="en-US" w:eastAsia="zh-CN"/>
        </w:rPr>
        <w:t>在任务管理器中找到nginx服务 右键 点击“打开文件所在的位置”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找到html文件夹下的对应的“TJXT ”文件夹进行备份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16"/>
          <w:szCs w:val="16"/>
          <w:lang w:val="en-US" w:eastAsia="zh-CN"/>
        </w:rPr>
        <w:t>（注：这里的文件夹 不一定叫这个名字 有可能是 现场人员随便起的）</w:t>
      </w:r>
    </w:p>
    <w:p w14:paraId="6D8BBB32">
      <w:pPr>
        <w:pStyle w:val="19"/>
        <w:numPr>
          <w:ilvl w:val="0"/>
          <w:numId w:val="3"/>
        </w:numPr>
        <w:rPr>
          <w:rFonts w:hint="eastAsia" w:eastAsia="思源黑体"/>
          <w:lang w:val="en-US" w:eastAsia="zh-CN"/>
        </w:rPr>
      </w:pPr>
      <w:r>
        <w:rPr>
          <w:rFonts w:hint="eastAsia"/>
          <w:lang w:val="en-US" w:eastAsia="zh-CN"/>
        </w:rPr>
        <w:t>替换文件夹下除了 “config”文件夹 之外的所有文件</w:t>
      </w:r>
    </w:p>
    <w:p w14:paraId="48EB77E1">
      <w:pPr>
        <w:pStyle w:val="19"/>
        <w:numPr>
          <w:ilvl w:val="0"/>
          <w:numId w:val="3"/>
        </w:numPr>
        <w:rPr>
          <w:rFonts w:hint="eastAsia" w:eastAsia="思源黑体"/>
          <w:lang w:val="en-US" w:eastAsia="zh-CN"/>
        </w:rPr>
      </w:pPr>
      <w:r>
        <w:rPr>
          <w:rFonts w:hint="eastAsia"/>
          <w:lang w:val="en-US" w:eastAsia="zh-CN"/>
        </w:rPr>
        <w:t>在nginx 根目录 的地址栏输入 “cmd”回车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937250" cy="2689860"/>
            <wp:effectExtent l="0" t="0" r="635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B12E">
      <w:pPr>
        <w:pStyle w:val="19"/>
        <w:numPr>
          <w:ilvl w:val="0"/>
          <w:numId w:val="3"/>
        </w:numPr>
        <w:rPr>
          <w:rFonts w:hint="eastAsia" w:eastAsia="思源黑体"/>
          <w:lang w:val="en-US" w:eastAsia="zh-CN"/>
        </w:rPr>
      </w:pPr>
      <w:r>
        <w:rPr>
          <w:rFonts w:hint="eastAsia"/>
          <w:lang w:val="en-US" w:eastAsia="zh-CN"/>
        </w:rPr>
        <w:t>在出现的中黑框输入 nginx -s reload 后回车 确认没报错</w:t>
      </w:r>
      <w:r>
        <w:drawing>
          <wp:inline distT="0" distB="0" distL="114300" distR="114300">
            <wp:extent cx="5939790" cy="3106420"/>
            <wp:effectExtent l="0" t="0" r="381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5685">
      <w:pPr>
        <w:pStyle w:val="19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+ F5 </w:t>
      </w:r>
      <w:r>
        <w:rPr>
          <w:rFonts w:hint="default"/>
          <w:lang w:val="en-US" w:eastAsia="zh-CN"/>
        </w:rPr>
        <w:t>或 </w:t>
      </w:r>
      <w:r>
        <w:rPr>
          <w:rFonts w:hint="eastAsia"/>
          <w:lang w:val="en-US" w:eastAsia="zh-CN"/>
        </w:rPr>
        <w:t xml:space="preserve">Ctrl + Shift + R 刷新浏览器页面 </w:t>
      </w:r>
    </w:p>
    <w:p w14:paraId="61A6CB8D">
      <w:pPr>
        <w:pStyle w:val="19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DBQuery需要在前端配置如下：</w:t>
      </w:r>
    </w:p>
    <w:p w14:paraId="377340FC">
      <w:pPr>
        <w:pStyle w:val="19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940425" cy="1822450"/>
            <wp:effectExtent l="0" t="0" r="3175" b="6350"/>
            <wp:docPr id="7" name="图片 7" descr="c91ef203798db56c2b9ad8a8dc87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91ef203798db56c2b9ad8a8dc877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CBA6">
      <w:pPr>
        <w:pStyle w:val="3"/>
        <w:rPr>
          <w:rFonts w:hint="eastAsia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报表部署（DBQuery）</w:t>
      </w:r>
    </w:p>
    <w:p w14:paraId="127D9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1、将DBQuery解压到TJXT的后端目录下</w:t>
      </w:r>
    </w:p>
    <w:p w14:paraId="54D37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2、双击dist_final/DBQuery.exe</w:t>
      </w:r>
    </w:p>
    <w:p w14:paraId="20E758C4">
      <w:r>
        <w:drawing>
          <wp:inline distT="0" distB="0" distL="114300" distR="114300">
            <wp:extent cx="3867150" cy="28003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6862"/>
    <w:p w14:paraId="5468CA0B">
      <w:pPr>
        <w:rPr>
          <w:rFonts w:hint="default" w:eastAsia="思源黑体"/>
          <w:lang w:val="en-US" w:eastAsia="zh-CN"/>
        </w:rPr>
      </w:pPr>
      <w:r>
        <w:rPr>
          <w:rFonts w:hint="eastAsia"/>
          <w:lang w:val="en-US" w:eastAsia="zh-CN"/>
        </w:rPr>
        <w:t>3、点击数据库连接配置，填写数据库参数并测试、前端无感登录部分需要修改为体检前端ip+端口</w:t>
      </w:r>
    </w:p>
    <w:p w14:paraId="38EE5A8F">
      <w:pPr>
        <w:pStyle w:val="19"/>
        <w:numPr>
          <w:ilvl w:val="0"/>
          <w:numId w:val="0"/>
        </w:numPr>
      </w:pPr>
      <w:r>
        <w:drawing>
          <wp:inline distT="0" distB="0" distL="114300" distR="114300">
            <wp:extent cx="4724400" cy="575310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8F5B">
      <w:pPr>
        <w:pStyle w:val="19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若出现类似下图报错，关于驱动程序管理器问题，可检查驱动程序名或者下载安装相应驱动【ODBC Driver 17 for SQL Server】百度搜索下载</w:t>
      </w:r>
    </w:p>
    <w:p w14:paraId="57AA7B98">
      <w:pPr>
        <w:pStyle w:val="19"/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819650" cy="150495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097D">
      <w:pPr>
        <w:pStyle w:val="19"/>
        <w:numPr>
          <w:ilvl w:val="0"/>
          <w:numId w:val="0"/>
        </w:numPr>
        <w:rPr>
          <w:rFonts w:hint="default"/>
          <w:lang w:val="en-US" w:eastAsia="zh-CN"/>
        </w:rPr>
      </w:pPr>
    </w:p>
    <w:p w14:paraId="450AE897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启动服务，双击启动start_web.bat，可修改bat中的web_port来修改启动端口，注意关闭的bat也要改，可以把bat添加到自启文件中或alwaysup来保证启动</w:t>
      </w:r>
    </w:p>
    <w:p w14:paraId="4552C2BA">
      <w:pPr>
        <w:numPr>
          <w:numId w:val="0"/>
        </w:numPr>
        <w:ind w:leftChars="0"/>
      </w:pPr>
      <w:r>
        <w:drawing>
          <wp:inline distT="0" distB="0" distL="114300" distR="114300">
            <wp:extent cx="5941060" cy="2824480"/>
            <wp:effectExtent l="0" t="0" r="2540" b="139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59E1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直接在浏览器访问ip+端口验证服务是否启动成功，启动成功后打开体检测试主任工作站，类似如下界面即成功</w:t>
      </w:r>
      <w:bookmarkStart w:id="0" w:name="_GoBack"/>
      <w:bookmarkEnd w:id="0"/>
    </w:p>
    <w:p w14:paraId="578C76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43600" cy="2844800"/>
            <wp:effectExtent l="0" t="0" r="0" b="1270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060107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648EE9"/>
    <w:multiLevelType w:val="singleLevel"/>
    <w:tmpl w:val="D0648EE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10000064"/>
    <w:multiLevelType w:val="multilevel"/>
    <w:tmpl w:val="100000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2">
    <w:nsid w:val="2000012F"/>
    <w:multiLevelType w:val="singleLevel"/>
    <w:tmpl w:val="2000012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2C0D8A60"/>
    <w:multiLevelType w:val="singleLevel"/>
    <w:tmpl w:val="2C0D8A60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680C75"/>
    <w:rsid w:val="042447E1"/>
    <w:rsid w:val="04904582"/>
    <w:rsid w:val="0E2043A0"/>
    <w:rsid w:val="10955A5A"/>
    <w:rsid w:val="12416638"/>
    <w:rsid w:val="12D17B3B"/>
    <w:rsid w:val="15067630"/>
    <w:rsid w:val="156C5214"/>
    <w:rsid w:val="1D641BF6"/>
    <w:rsid w:val="1E1E225C"/>
    <w:rsid w:val="200E330F"/>
    <w:rsid w:val="210A7EB7"/>
    <w:rsid w:val="214B0DE4"/>
    <w:rsid w:val="22AD753C"/>
    <w:rsid w:val="24A106B2"/>
    <w:rsid w:val="26894BE1"/>
    <w:rsid w:val="27E96E49"/>
    <w:rsid w:val="29AA07CF"/>
    <w:rsid w:val="2A5F2835"/>
    <w:rsid w:val="2DFB0E33"/>
    <w:rsid w:val="2EB12328"/>
    <w:rsid w:val="31C25BAF"/>
    <w:rsid w:val="323A3A54"/>
    <w:rsid w:val="37DE48FE"/>
    <w:rsid w:val="38BE13DB"/>
    <w:rsid w:val="3BE97DFB"/>
    <w:rsid w:val="3EAF4B7B"/>
    <w:rsid w:val="49A63EF1"/>
    <w:rsid w:val="49E5444E"/>
    <w:rsid w:val="4E441CF4"/>
    <w:rsid w:val="51E41789"/>
    <w:rsid w:val="54547F90"/>
    <w:rsid w:val="567A311B"/>
    <w:rsid w:val="5C94421A"/>
    <w:rsid w:val="5D2630E1"/>
    <w:rsid w:val="5D573A29"/>
    <w:rsid w:val="5E6C11E0"/>
    <w:rsid w:val="60434E70"/>
    <w:rsid w:val="60441AFF"/>
    <w:rsid w:val="61FA5617"/>
    <w:rsid w:val="66806057"/>
    <w:rsid w:val="6AF136D8"/>
    <w:rsid w:val="6CF9265A"/>
    <w:rsid w:val="6F121E2F"/>
    <w:rsid w:val="701A5932"/>
    <w:rsid w:val="74316D18"/>
    <w:rsid w:val="76573A9A"/>
    <w:rsid w:val="7B737DA2"/>
    <w:rsid w:val="7C2D0116"/>
    <w:rsid w:val="7F087B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3864" w:sz="8" w:space="4"/>
      </w:pBdr>
      <w:spacing w:before="280" w:after="160" w:line="340" w:lineRule="auto"/>
      <w:outlineLvl w:val="0"/>
    </w:pPr>
    <w:rPr>
      <w:rFonts w:ascii="Times New Roman" w:hAnsi="Times New Roman" w:eastAsia="思源黑体" w:cs="Times New Roman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 w:line="340" w:lineRule="auto"/>
      <w:outlineLvl w:val="1"/>
    </w:pPr>
    <w:rPr>
      <w:rFonts w:ascii="Times New Roman" w:hAnsi="Times New Roman" w:eastAsia="思源黑体" w:cs="Times New Roman"/>
      <w:b/>
      <w:bCs/>
      <w:color w:val="2E5496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80" w:line="340" w:lineRule="auto"/>
      <w:outlineLvl w:val="2"/>
    </w:pPr>
    <w:rPr>
      <w:rFonts w:ascii="Times New Roman" w:hAnsi="Times New Roman" w:eastAsia="思源黑体" w:cs="Times New Roman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pPr>
      <w:spacing w:after="120" w:line="340" w:lineRule="auto"/>
    </w:pPr>
    <w:rPr>
      <w:rFonts w:ascii="Times New Roman" w:hAnsi="Times New Roman" w:eastAsia="思源黑体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20" w:line="340" w:lineRule="auto"/>
    </w:pPr>
    <w:rPr>
      <w:rFonts w:ascii="Times New Roman" w:hAnsi="Times New Roman" w:eastAsia="思源黑体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20" w:line="340" w:lineRule="auto"/>
    </w:pPr>
    <w:rPr>
      <w:rFonts w:ascii="Times New Roman" w:hAnsi="Times New Roman" w:eastAsia="思源黑体" w:cs="Times New Roman"/>
      <w:color w:val="1F4D78"/>
      <w:sz w:val="22"/>
      <w:szCs w:val="2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Subtitle"/>
    <w:qFormat/>
    <w:uiPriority w:val="0"/>
    <w:pPr>
      <w:spacing w:after="400" w:line="340" w:lineRule="auto"/>
      <w:jc w:val="center"/>
    </w:pPr>
    <w:rPr>
      <w:rFonts w:ascii="Times New Roman" w:hAnsi="Times New Roman" w:eastAsia="思源黑体" w:cs="Times New Roman"/>
      <w:color w:val="595959"/>
      <w:sz w:val="24"/>
      <w:szCs w:val="24"/>
    </w:rPr>
  </w:style>
  <w:style w:type="paragraph" w:styleId="10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Title"/>
    <w:qFormat/>
    <w:uiPriority w:val="0"/>
    <w:pPr>
      <w:spacing w:before="240" w:after="120" w:line="340" w:lineRule="auto"/>
      <w:jc w:val="center"/>
    </w:pPr>
    <w:rPr>
      <w:rFonts w:ascii="Times New Roman" w:hAnsi="Times New Roman" w:eastAsia="思源黑体" w:cs="Times New Roman"/>
      <w:b/>
      <w:bCs/>
      <w:color w:val="1F3864"/>
      <w:sz w:val="44"/>
      <w:szCs w:val="44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20" w:line="340" w:lineRule="auto"/>
    </w:pPr>
    <w:rPr>
      <w:rFonts w:ascii="Times New Roman" w:hAnsi="Times New Roman" w:eastAsia="思源黑体" w:cs="Times New Roman"/>
      <w:sz w:val="22"/>
      <w:szCs w:val="22"/>
    </w:rPr>
  </w:style>
  <w:style w:type="character" w:customStyle="1" w:styleId="20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911</Words>
  <Characters>1537</Characters>
  <TotalTime>14</TotalTime>
  <ScaleCrop>false</ScaleCrop>
  <LinksUpToDate>false</LinksUpToDate>
  <CharactersWithSpaces>1645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2026-08-27T08:01:00Z</dcterms:created>
  <dc:creator>Un-named</dc:creator>
  <cp:lastModifiedBy>李凯</cp:lastModifiedBy>
  <dcterms:modified xsi:type="dcterms:W3CDTF">2026-09-15T10:33:39Z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eyJoZGlkIjoiNTRmM2NjZWE4ZmRjYjU4YTM4NTE3ZWVhZWRhYjFiYjgiLCJ1c2VySWQiOiIxNDU0MzA1NjEwIn0=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A1304C7CFD5543F3A331DCCB34C6CCA1_13</vt:lpwstr>
  </property>
</Properties>
</file>