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NEOMI Pipeline Runner</w:t>
      </w:r>
    </w:p>
    <w:p>
      <w:pPr>
        <w:jc w:val="center"/>
      </w:pPr>
      <w:r>
        <w:rPr>
          <w:color w:val="888888"/>
          <w:sz w:val="28"/>
        </w:rPr>
        <w:t>Felhasználói Kézikönyv</w:t>
      </w:r>
    </w:p>
    <w:p>
      <w:pPr>
        <w:jc w:val="center"/>
      </w:pPr>
      <w:r>
        <w:rPr>
          <w:color w:val="666666"/>
          <w:sz w:val="20"/>
        </w:rPr>
        <w:t>Verzió: 1.0  |  2026. május  |  NeoMI projekt</w:t>
      </w:r>
    </w:p>
    <w:p>
      <w:r>
        <w:br w:type="page"/>
      </w:r>
    </w:p>
    <w:p>
      <w:pPr>
        <w:pStyle w:val="Heading1"/>
      </w:pPr>
      <w:r>
        <w:rPr>
          <w:color w:val="00CC66"/>
        </w:rPr>
        <w:t>1. Áttekintés</w:t>
      </w:r>
    </w:p>
    <w:p>
      <w:r>
        <w:t>A NEOMI Pipeline Runner egy mesterséges intelligencia alapú tartalomgeneráló eszköz, amellyel vállalati AI-oktatási anyagokat lehet automatikusan létrehozni. A rendszer egy 5 lépéses ügynök-pipeline-t futtat:</w:t>
        <w:br/>
        <w:br/>
        <w:t xml:space="preserve">  1. Kontextuselemzés</w:t>
        <w:br/>
        <w:t xml:space="preserve">  2. Igényfelmérés</w:t>
        <w:br/>
        <w:t xml:space="preserve">  3. Tantervtervezés</w:t>
        <w:br/>
        <w:t xml:space="preserve">  4. Tartalomírás</w:t>
        <w:br/>
        <w:t xml:space="preserve">  5. Kritikai értékelés</w:t>
      </w:r>
    </w:p>
    <w:p>
      <w:r>
        <w:t>Az alkalmazás elérhető a következő URL-en:</w:t>
      </w:r>
    </w:p>
    <w:p>
      <w:r>
        <w:rPr>
          <w:color w:val="0088FF"/>
        </w:rPr>
        <w:t>https://neomi-pipeline-ui-643234238822.europe-west1.run.app</w:t>
      </w:r>
    </w:p>
    <w:p>
      <w:pPr>
        <w:pStyle w:val="Heading1"/>
      </w:pPr>
      <w:r>
        <w:rPr>
          <w:color w:val="00CC66"/>
        </w:rPr>
        <w:t>2. A felhasználói felület felépítése</w:t>
      </w:r>
    </w:p>
    <w:p>
      <w:r>
        <w:t>Az alkalmazás két fő területre osztott: a bal oldalon találhatók a bemeneti adatok, a jobb oldalon jelennek meg a pipeline eredményei.</w:t>
      </w:r>
    </w:p>
    <w:p>
      <w:r>
        <w:rPr>
          <w:color w:val="FF4444"/>
        </w:rPr>
        <w:t>[Hiányzó kép: 01_initial_load.png]</w:t>
      </w:r>
    </w:p>
    <w:p/>
    <w:p>
      <w:r>
        <w:t>A fejlécben látható elemek:</w:t>
      </w:r>
    </w:p>
    <w:p>
      <w:pPr>
        <w:pStyle w:val="ListBullet"/>
      </w:pPr>
      <w:r>
        <w:t>Zöld villogó pont — a rendszer aktív állapotát jelzi</w:t>
      </w:r>
    </w:p>
    <w:p>
      <w:pPr>
        <w:pStyle w:val="ListBullet"/>
      </w:pPr>
      <w:r>
        <w:t>NEOMI Pipeline Runner — az alkalmazás neve</w:t>
      </w:r>
    </w:p>
    <w:p>
      <w:pPr>
        <w:pStyle w:val="ListBullet"/>
      </w:pPr>
      <w:r>
        <w:t>// exp-001 — a kiválasztott kísérlet azonosítója (jobb felső sarok)</w:t>
      </w:r>
    </w:p>
    <w:p>
      <w:pPr>
        <w:pStyle w:val="Heading1"/>
      </w:pPr>
      <w:r>
        <w:rPr>
          <w:color w:val="00CC66"/>
        </w:rPr>
        <w:t>3. Bal panel — Bemeneti adatok</w:t>
      </w:r>
    </w:p>
    <w:p>
      <w:pPr>
        <w:pStyle w:val="Heading2"/>
      </w:pPr>
      <w:r>
        <w:rPr>
          <w:color w:val="3399FF"/>
        </w:rPr>
        <w:t>3.1 Kísérlet kiválasztása</w:t>
      </w:r>
    </w:p>
    <w:p>
      <w:r>
        <w:t>A KÍSÉRLET szekcióban választható ki a pipeline LLM-konfigurációja. Három előre definiált kísérlet érhető 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>
            <w:r>
              <w:rPr>
                <w:b/>
              </w:rPr>
              <w:t>Kísérlet</w:t>
            </w:r>
          </w:p>
        </w:tc>
        <w:tc>
          <w:tcPr>
            <w:tcW w:type="dxa" w:w="4392"/>
          </w:tcPr>
          <w:p>
            <w:r>
              <w:rPr>
                <w:b/>
              </w:rPr>
              <w:t>Leírás</w:t>
            </w:r>
          </w:p>
        </w:tc>
      </w:tr>
      <w:tr>
        <w:tc>
          <w:tcPr>
            <w:tcW w:type="dxa" w:w="4392"/>
          </w:tcPr>
          <w:p>
            <w:r>
              <w:t>exp-001 — Baseline, GPT-4o mindenhol</w:t>
            </w:r>
          </w:p>
        </w:tc>
        <w:tc>
          <w:tcPr>
            <w:tcW w:type="dxa" w:w="4392"/>
          </w:tcPr>
          <w:p>
            <w:r>
              <w:t>Referencia pont: azonos erős modell minden szerepben</w:t>
            </w:r>
          </w:p>
        </w:tc>
      </w:tr>
      <w:tr>
        <w:tc>
          <w:tcPr>
            <w:tcW w:type="dxa" w:w="4392"/>
          </w:tcPr>
          <w:p>
            <w:r>
              <w:t>exp-002 — Claude diverzitás</w:t>
            </w:r>
          </w:p>
        </w:tc>
        <w:tc>
          <w:tcPr>
            <w:tcW w:type="dxa" w:w="4392"/>
          </w:tcPr>
          <w:p>
            <w:r>
              <w:t>Claude Sonnet minden pipeline csomópontban</w:t>
            </w:r>
          </w:p>
        </w:tc>
      </w:tr>
      <w:tr>
        <w:tc>
          <w:tcPr>
            <w:tcW w:type="dxa" w:w="4392"/>
          </w:tcPr>
          <w:p>
            <w:r>
              <w:t>exp-003 — Vegyes optimális</w:t>
            </w:r>
          </w:p>
        </w:tc>
        <w:tc>
          <w:tcPr>
            <w:tcW w:type="dxa" w:w="4392"/>
          </w:tcPr>
          <w:p>
            <w:r>
              <w:t>Különböző modellek az egyes szerepekhez optimalizálva</w:t>
            </w:r>
          </w:p>
        </w:tc>
      </w:tr>
    </w:tbl>
    <w:p/>
    <w:p>
      <w:pPr>
        <w:pStyle w:val="Heading2"/>
      </w:pPr>
      <w:r>
        <w:rPr>
          <w:color w:val="3399FF"/>
        </w:rPr>
        <w:t>3.2 Bemeneti mezők</w:t>
      </w:r>
    </w:p>
    <w:p>
      <w:r>
        <w:rPr>
          <w:color w:val="FF4444"/>
        </w:rPr>
        <w:t>[Hiányzó kép: 02_experiment_selector.png]</w:t>
      </w:r>
    </w:p>
    <w:p/>
    <w:p>
      <w:r>
        <w:t>Az alábbi mezőket lehet kitölteni: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rPr>
                <w:b/>
              </w:rPr>
              <w:t>Mező</w:t>
            </w:r>
          </w:p>
        </w:tc>
        <w:tc>
          <w:tcPr>
            <w:tcW w:type="dxa" w:w="2928"/>
          </w:tcPr>
          <w:p>
            <w:r>
              <w:rPr>
                <w:b/>
              </w:rPr>
              <w:t>Kötelező</w:t>
            </w:r>
          </w:p>
        </w:tc>
        <w:tc>
          <w:tcPr>
            <w:tcW w:type="dxa" w:w="2928"/>
          </w:tcPr>
          <w:p>
            <w:r>
              <w:rPr>
                <w:b/>
              </w:rPr>
              <w:t>Leírás</w:t>
            </w:r>
          </w:p>
        </w:tc>
      </w:tr>
      <w:tr>
        <w:tc>
          <w:tcPr>
            <w:tcW w:type="dxa" w:w="2928"/>
          </w:tcPr>
          <w:p>
            <w:r>
              <w:t>CÉG NEVE</w:t>
            </w:r>
          </w:p>
        </w:tc>
        <w:tc>
          <w:tcPr>
            <w:tcW w:type="dxa" w:w="2928"/>
          </w:tcPr>
          <w:p>
            <w:r>
              <w:t>✅ Igen</w:t>
            </w:r>
          </w:p>
        </w:tc>
        <w:tc>
          <w:tcPr>
            <w:tcW w:type="dxa" w:w="2928"/>
          </w:tcPr>
          <w:p>
            <w:r>
              <w:t>A vállalat neve (pl. Acme Solutions Kft.)</w:t>
            </w:r>
          </w:p>
        </w:tc>
      </w:tr>
      <w:tr>
        <w:tc>
          <w:tcPr>
            <w:tcW w:type="dxa" w:w="2928"/>
          </w:tcPr>
          <w:p>
            <w:r>
              <w:t>CÉG TÍPUSA</w:t>
            </w:r>
          </w:p>
        </w:tc>
        <w:tc>
          <w:tcPr>
            <w:tcW w:type="dxa" w:w="2928"/>
          </w:tcPr>
          <w:p>
            <w:r>
              <w:t>Nem</w:t>
            </w:r>
          </w:p>
        </w:tc>
        <w:tc>
          <w:tcPr>
            <w:tcW w:type="dxa" w:w="2928"/>
          </w:tcPr>
          <w:p>
            <w:r>
              <w:t>Az iparág vagy tevékenység típusa</w:t>
            </w:r>
          </w:p>
        </w:tc>
      </w:tr>
      <w:tr>
        <w:tc>
          <w:tcPr>
            <w:tcW w:type="dxa" w:w="2928"/>
          </w:tcPr>
          <w:p>
            <w:r>
              <w:t>CÉLKÖZÖNSÉG</w:t>
            </w:r>
          </w:p>
        </w:tc>
        <w:tc>
          <w:tcPr>
            <w:tcW w:type="dxa" w:w="2928"/>
          </w:tcPr>
          <w:p>
            <w:r>
              <w:t>Nem</w:t>
            </w:r>
          </w:p>
        </w:tc>
        <w:tc>
          <w:tcPr>
            <w:tcW w:type="dxa" w:w="2928"/>
          </w:tcPr>
          <w:p>
            <w:r>
              <w:t>Kiknek szól a tartalom (pl. Középvezetők)</w:t>
            </w:r>
          </w:p>
        </w:tc>
      </w:tr>
      <w:tr>
        <w:tc>
          <w:tcPr>
            <w:tcW w:type="dxa" w:w="2928"/>
          </w:tcPr>
          <w:p>
            <w:r>
              <w:t>CÉL</w:t>
            </w:r>
          </w:p>
        </w:tc>
        <w:tc>
          <w:tcPr>
            <w:tcW w:type="dxa" w:w="2928"/>
          </w:tcPr>
          <w:p>
            <w:r>
              <w:t>Nem</w:t>
            </w:r>
          </w:p>
        </w:tc>
        <w:tc>
          <w:tcPr>
            <w:tcW w:type="dxa" w:w="2928"/>
          </w:tcPr>
          <w:p>
            <w:r>
              <w:t>Mi a képzés célja</w:t>
            </w:r>
          </w:p>
        </w:tc>
      </w:tr>
      <w:tr>
        <w:tc>
          <w:tcPr>
            <w:tcW w:type="dxa" w:w="2928"/>
          </w:tcPr>
          <w:p>
            <w:r>
              <w:t>KONTEXTUS</w:t>
            </w:r>
          </w:p>
        </w:tc>
        <w:tc>
          <w:tcPr>
            <w:tcW w:type="dxa" w:w="2928"/>
          </w:tcPr>
          <w:p>
            <w:r>
              <w:t>Nem</w:t>
            </w:r>
          </w:p>
        </w:tc>
        <w:tc>
          <w:tcPr>
            <w:tcW w:type="dxa" w:w="2928"/>
          </w:tcPr>
          <w:p>
            <w:r>
              <w:t>További háttérinformáció (opcionális)</w:t>
            </w:r>
          </w:p>
        </w:tc>
      </w:tr>
    </w:tbl>
    <w:p/>
    <w:p>
      <w:r>
        <w:rPr>
          <w:b/>
        </w:rPr>
        <w:t xml:space="preserve">ℹ️  </w:t>
      </w:r>
      <w:r>
        <w:rPr>
          <w:i/>
          <w:color w:val="555555"/>
        </w:rPr>
        <w:t>A Cég neve mező kitöltése kötelező. Amíg üres, a „PIPELINE FUTTATÁSA" gomb inaktív (szürke), és „A cég neve kötelező" figyelmeztetés látható.</w:t>
      </w:r>
    </w:p>
    <w:p>
      <w:pPr>
        <w:pStyle w:val="Heading2"/>
      </w:pPr>
      <w:r>
        <w:rPr>
          <w:color w:val="3399FF"/>
        </w:rPr>
        <w:t>3.3 Kitöltött állapot</w:t>
      </w:r>
    </w:p>
    <w:p>
      <w:r>
        <w:rPr>
          <w:color w:val="FF4444"/>
        </w:rPr>
        <w:t>[Hiányzó kép: 03_company_name_filled.png]</w:t>
      </w:r>
    </w:p>
    <w:p/>
    <w:p>
      <w:r>
        <w:rPr>
          <w:color w:val="FF4444"/>
        </w:rPr>
        <w:t>[Hiányzó kép: 04_all_fields_filled.png]</w:t>
      </w:r>
    </w:p>
    <w:p/>
    <w:p>
      <w:r>
        <w:t>Ha a Cég neve mező ki van töltve, a „PIPELINE FUTTATÁSA" gomb zöldre vált és kattinthatóvá válik.</w:t>
      </w:r>
    </w:p>
    <w:p>
      <w:pPr>
        <w:pStyle w:val="Heading1"/>
      </w:pPr>
      <w:r>
        <w:rPr>
          <w:color w:val="00CC66"/>
        </w:rPr>
        <w:t>4. A pipeline futtatása</w:t>
      </w:r>
    </w:p>
    <w:p>
      <w:pPr>
        <w:pStyle w:val="Heading2"/>
      </w:pPr>
      <w:r>
        <w:rPr>
          <w:color w:val="3399FF"/>
        </w:rPr>
        <w:t>4.1 Indítás</w:t>
      </w:r>
    </w:p>
    <w:p>
      <w:r>
        <w:t>Kattints a zöld „PIPELINE FUTTATÁSA" gombra. A gomb felirata azonnal „PIPELINE FUT..."-ra változik és letiltódik, hogy megelőzze a dupla küldést.</w:t>
      </w:r>
    </w:p>
    <w:p>
      <w:pPr>
        <w:pStyle w:val="Heading2"/>
      </w:pPr>
      <w:r>
        <w:rPr>
          <w:color w:val="3399FF"/>
        </w:rPr>
        <w:t>4.2 Betöltési állapot</w:t>
      </w:r>
    </w:p>
    <w:p>
      <w:r>
        <w:rPr>
          <w:color w:val="FF4444"/>
        </w:rPr>
        <w:t>[Hiányzó kép: 05_pipeline_loading.png]</w:t>
      </w:r>
    </w:p>
    <w:p/>
    <w:p>
      <w:r>
        <w:t>A jobb panelen megjelenik:</w:t>
      </w:r>
    </w:p>
    <w:p>
      <w:pPr>
        <w:pStyle w:val="ListBullet"/>
      </w:pPr>
      <w:r>
        <w:t>Animált zöld pontok — a feldolgozás folyamatban van</w:t>
      </w:r>
    </w:p>
    <w:p>
      <w:pPr>
        <w:pStyle w:val="ListBullet"/>
      </w:pPr>
      <w:r>
        <w:t>„Pipeline fut..." felirat</w:t>
      </w:r>
    </w:p>
    <w:p>
      <w:pPr>
        <w:pStyle w:val="ListBullet"/>
      </w:pPr>
      <w:r>
        <w:t>Tájékoztató szöveg a várható futási időről</w:t>
      </w:r>
    </w:p>
    <w:p>
      <w:r>
        <w:rPr>
          <w:b/>
        </w:rPr>
        <w:t xml:space="preserve">ℹ️  </w:t>
      </w:r>
      <w:r>
        <w:rPr>
          <w:i/>
          <w:color w:val="555555"/>
        </w:rPr>
        <w:t>A pipeline futtatása általában 30–90 másodpercig tart, mivel 5 LLM ügynök dolgozik sorban egymás után. Ne zárd be a böngésző lapot!</w:t>
      </w:r>
    </w:p>
    <w:p>
      <w:pPr>
        <w:pStyle w:val="Heading1"/>
      </w:pPr>
      <w:r>
        <w:rPr>
          <w:color w:val="00CC66"/>
        </w:rPr>
        <w:t>5. Az eredmények értelmezése</w:t>
      </w:r>
    </w:p>
    <w:p>
      <w:pPr>
        <w:pStyle w:val="Heading2"/>
      </w:pPr>
      <w:r>
        <w:rPr>
          <w:color w:val="3399FF"/>
        </w:rPr>
        <w:t>5.1 Pipeline nyomkövetés (Node Trace)</w:t>
      </w:r>
    </w:p>
    <w:p>
      <w:r>
        <w:t>A pipeline lefutása után a jobb panelen megjelennek az eredmények. Az összesítő sorban látható a csomópontok száma, a teljes futási idő és az összes felhasznált token. Alatta minden egyes ügynök egy-egy kártyán jelenik meg.</w:t>
      </w:r>
    </w:p>
    <w:p>
      <w:r>
        <w:t>Egy kártya elemei:</w:t>
      </w:r>
    </w:p>
    <w:p>
      <w:pPr>
        <w:pStyle w:val="ListBullet"/>
      </w:pPr>
      <w:r>
        <w:t>Színes pont — zöld: sikeres, sárga: közepes, piros: hiba</w:t>
      </w:r>
    </w:p>
    <w:p>
      <w:pPr>
        <w:pStyle w:val="ListBullet"/>
      </w:pPr>
      <w:r>
        <w:t>Csomópont neve — az ügynök szerepe (pl. context_analyst)</w:t>
      </w:r>
    </w:p>
    <w:p>
      <w:pPr>
        <w:pStyle w:val="ListBullet"/>
      </w:pPr>
      <w:r>
        <w:t>Model — a használt LLM modell neve</w:t>
      </w:r>
    </w:p>
    <w:p>
      <w:pPr>
        <w:pStyle w:val="ListBullet"/>
      </w:pPr>
      <w:r>
        <w:t>Idő — az ügynök futási ideje másodpercben</w:t>
      </w:r>
    </w:p>
    <w:p>
      <w:pPr>
        <w:pStyle w:val="ListBullet"/>
      </w:pPr>
      <w:r>
        <w:t>Token — a felhasznált tokenek száma</w:t>
      </w:r>
    </w:p>
    <w:p>
      <w:pPr>
        <w:pStyle w:val="ListBullet"/>
      </w:pPr>
      <w:r>
        <w:t>SRS badge — Service Readiness Score (0–100)</w:t>
      </w:r>
    </w:p>
    <w:p/>
    <w:p>
      <w:r>
        <w:t>Kattints bármelyik kártyára a részletes LLM kimenet megtekintéséhez.</w:t>
      </w:r>
    </w:p>
    <w:p>
      <w:pPr>
        <w:pStyle w:val="Heading2"/>
      </w:pPr>
      <w:r>
        <w:rPr>
          <w:color w:val="3399FF"/>
        </w:rPr>
        <w:t>5.2 SRS (Service Readiness Score)</w:t>
      </w:r>
    </w:p>
    <w:p>
      <w:r>
        <w:t>Az SRS egy összetett minőségmutató, amely az Artificial Analysis benchmark adatain alapul. A badge fölé húzva az egeret egy tooltip mutatja a részletes bontást.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rPr>
                <w:b/>
              </w:rPr>
              <w:t>Kategória</w:t>
            </w:r>
          </w:p>
        </w:tc>
        <w:tc>
          <w:tcPr>
            <w:tcW w:type="dxa" w:w="2928"/>
          </w:tcPr>
          <w:p>
            <w:r>
              <w:rPr>
                <w:b/>
              </w:rPr>
              <w:t>Súly</w:t>
            </w:r>
          </w:p>
        </w:tc>
        <w:tc>
          <w:tcPr>
            <w:tcW w:type="dxa" w:w="2928"/>
          </w:tcPr>
          <w:p>
            <w:r>
              <w:rPr>
                <w:b/>
              </w:rPr>
              <w:t>Leírás</w:t>
            </w:r>
          </w:p>
        </w:tc>
      </w:tr>
      <w:tr>
        <w:tc>
          <w:tcPr>
            <w:tcW w:type="dxa" w:w="2928"/>
          </w:tcPr>
          <w:p>
            <w:r>
              <w:t>Tudás</w:t>
            </w:r>
          </w:p>
        </w:tc>
        <w:tc>
          <w:tcPr>
            <w:tcW w:type="dxa" w:w="2928"/>
          </w:tcPr>
          <w:p>
            <w:r>
              <w:t>25%</w:t>
            </w:r>
          </w:p>
        </w:tc>
        <w:tc>
          <w:tcPr>
            <w:tcW w:type="dxa" w:w="2928"/>
          </w:tcPr>
          <w:p>
            <w:r>
              <w:t>Factual knowledge benchmark (MMLU Pro, GPQA)</w:t>
            </w:r>
          </w:p>
        </w:tc>
      </w:tr>
      <w:tr>
        <w:tc>
          <w:tcPr>
            <w:tcW w:type="dxa" w:w="2928"/>
          </w:tcPr>
          <w:p>
            <w:r>
              <w:t>Érvelés</w:t>
            </w:r>
          </w:p>
        </w:tc>
        <w:tc>
          <w:tcPr>
            <w:tcW w:type="dxa" w:w="2928"/>
          </w:tcPr>
          <w:p>
            <w:r>
              <w:t>35%</w:t>
            </w:r>
          </w:p>
        </w:tc>
        <w:tc>
          <w:tcPr>
            <w:tcW w:type="dxa" w:w="2928"/>
          </w:tcPr>
          <w:p>
            <w:r>
              <w:t>Reasoning benchmark (MATH-500, AIME, LiveCodeBench)</w:t>
            </w:r>
          </w:p>
        </w:tc>
      </w:tr>
      <w:tr>
        <w:tc>
          <w:tcPr>
            <w:tcW w:type="dxa" w:w="2928"/>
          </w:tcPr>
          <w:p>
            <w:r>
              <w:t>Használhatóság</w:t>
            </w:r>
          </w:p>
        </w:tc>
        <w:tc>
          <w:tcPr>
            <w:tcW w:type="dxa" w:w="2928"/>
          </w:tcPr>
          <w:p>
            <w:r>
              <w:t>40%</w:t>
            </w:r>
          </w:p>
        </w:tc>
        <w:tc>
          <w:tcPr>
            <w:tcW w:type="dxa" w:w="2928"/>
          </w:tcPr>
          <w:p>
            <w:r>
              <w:t>AI Intelligence Index alapú minőségmutató</w:t>
            </w:r>
          </w:p>
        </w:tc>
      </w:tr>
    </w:tbl>
    <w:p/>
    <w:p>
      <w:r>
        <w:t>Értelmezés: 🟢 70+ Kiváló  |  🟡 40–70 Elfogadható  |  🔴 0–40 Gyenge</w:t>
      </w:r>
    </w:p>
    <w:p>
      <w:pPr>
        <w:pStyle w:val="Heading2"/>
      </w:pPr>
      <w:r>
        <w:rPr>
          <w:color w:val="3399FF"/>
        </w:rPr>
        <w:t>5.3 Kritikai összefoglaló</w:t>
      </w:r>
    </w:p>
    <w:p>
      <w:r>
        <w:t>A pipeline utolsó eleme a Critic ügynök értékelése. Megmutatja az érettségi pontszámot (0–100), a kategóriánkénti értékelést (relevancia, mélység, alkalmazhatóság) és egy szöveges visszajelzést.</w:t>
      </w:r>
    </w:p>
    <w:p>
      <w:pPr>
        <w:pStyle w:val="Heading1"/>
      </w:pPr>
      <w:r>
        <w:rPr>
          <w:color w:val="00CC66"/>
        </w:rPr>
        <w:t>6. Hibaelhárítás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rPr>
                <w:b/>
              </w:rPr>
              <w:t>Hiba</w:t>
            </w:r>
          </w:p>
        </w:tc>
        <w:tc>
          <w:tcPr>
            <w:tcW w:type="dxa" w:w="2928"/>
          </w:tcPr>
          <w:p>
            <w:r>
              <w:rPr>
                <w:b/>
              </w:rPr>
              <w:t>Lehetséges ok</w:t>
            </w:r>
          </w:p>
        </w:tc>
        <w:tc>
          <w:tcPr>
            <w:tcW w:type="dxa" w:w="2928"/>
          </w:tcPr>
          <w:p>
            <w:r>
              <w:rPr>
                <w:b/>
              </w:rPr>
              <w:t>Megoldás</w:t>
            </w:r>
          </w:p>
        </w:tc>
      </w:tr>
      <w:tr>
        <w:tc>
          <w:tcPr>
            <w:tcW w:type="dxa" w:w="2928"/>
          </w:tcPr>
          <w:p>
            <w:r>
              <w:t>"A cég neve kötelező"</w:t>
            </w:r>
          </w:p>
        </w:tc>
        <w:tc>
          <w:tcPr>
            <w:tcW w:type="dxa" w:w="2928"/>
          </w:tcPr>
          <w:p>
            <w:r>
              <w:t>CÉG NEVE mező üres</w:t>
            </w:r>
          </w:p>
        </w:tc>
        <w:tc>
          <w:tcPr>
            <w:tcW w:type="dxa" w:w="2928"/>
          </w:tcPr>
          <w:p>
            <w:r>
              <w:t>Töltsd ki a Cég neve mezőt</w:t>
            </w:r>
          </w:p>
        </w:tc>
      </w:tr>
      <w:tr>
        <w:tc>
          <w:tcPr>
            <w:tcW w:type="dxa" w:w="2928"/>
          </w:tcPr>
          <w:p>
            <w:r>
              <w:t>"Pipeline futtatása sikertelen"</w:t>
            </w:r>
          </w:p>
        </w:tc>
        <w:tc>
          <w:tcPr>
            <w:tcW w:type="dxa" w:w="2928"/>
          </w:tcPr>
          <w:p>
            <w:r>
              <w:t>Backend nem elérhető</w:t>
            </w:r>
          </w:p>
        </w:tc>
        <w:tc>
          <w:tcPr>
            <w:tcW w:type="dxa" w:w="2928"/>
          </w:tcPr>
          <w:p>
            <w:r>
              <w:t>Ellenőrizd az internetkapcsolatot</w:t>
            </w:r>
          </w:p>
        </w:tc>
      </w:tr>
      <w:tr>
        <w:tc>
          <w:tcPr>
            <w:tcW w:type="dxa" w:w="2928"/>
          </w:tcPr>
          <w:p>
            <w:r>
              <w:t>Üres jobb panel</w:t>
            </w:r>
          </w:p>
        </w:tc>
        <w:tc>
          <w:tcPr>
            <w:tcW w:type="dxa" w:w="2928"/>
          </w:tcPr>
          <w:p>
            <w:r>
              <w:t>Timeout vagy hálózati hiba</w:t>
            </w:r>
          </w:p>
        </w:tc>
        <w:tc>
          <w:tcPr>
            <w:tcW w:type="dxa" w:w="2928"/>
          </w:tcPr>
          <w:p>
            <w:r>
              <w:t>Töltsd újra az oldalt és futtasd újra</w:t>
            </w:r>
          </w:p>
        </w:tc>
      </w:tr>
      <w:tr>
        <w:tc>
          <w:tcPr>
            <w:tcW w:type="dxa" w:w="2928"/>
          </w:tcPr>
          <w:p>
            <w:r>
              <w:t>Hosszú betöltés (90s+)</w:t>
            </w:r>
          </w:p>
        </w:tc>
        <w:tc>
          <w:tcPr>
            <w:tcW w:type="dxa" w:w="2928"/>
          </w:tcPr>
          <w:p>
            <w:r>
              <w:t>Sok token, komplex bemenet</w:t>
            </w:r>
          </w:p>
        </w:tc>
        <w:tc>
          <w:tcPr>
            <w:tcW w:type="dxa" w:w="2928"/>
          </w:tcPr>
          <w:p>
            <w:r>
              <w:t>Normális jelenség, várj türelmesen</w:t>
            </w:r>
          </w:p>
        </w:tc>
      </w:tr>
    </w:tbl>
    <w:p>
      <w:pPr>
        <w:pStyle w:val="Heading1"/>
      </w:pPr>
      <w:r>
        <w:rPr>
          <w:color w:val="00CC66"/>
        </w:rPr>
        <w:t>7. Műszaki információk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>
            <w:r>
              <w:rPr>
                <w:b/>
              </w:rPr>
              <w:t>Összetevő</w:t>
            </w:r>
          </w:p>
        </w:tc>
        <w:tc>
          <w:tcPr>
            <w:tcW w:type="dxa" w:w="4392"/>
          </w:tcPr>
          <w:p>
            <w:r>
              <w:rPr>
                <w:b/>
              </w:rPr>
              <w:t>Részletek</w:t>
            </w:r>
          </w:p>
        </w:tc>
      </w:tr>
      <w:tr>
        <w:tc>
          <w:tcPr>
            <w:tcW w:type="dxa" w:w="4392"/>
          </w:tcPr>
          <w:p>
            <w:r>
              <w:t>Backend</w:t>
            </w:r>
          </w:p>
        </w:tc>
        <w:tc>
          <w:tcPr>
            <w:tcW w:type="dxa" w:w="4392"/>
          </w:tcPr>
          <w:p>
            <w:r>
              <w:t>FastAPI + LangGraph, Google Cloud Run (europe-west1)</w:t>
            </w:r>
          </w:p>
        </w:tc>
      </w:tr>
      <w:tr>
        <w:tc>
          <w:tcPr>
            <w:tcW w:type="dxa" w:w="4392"/>
          </w:tcPr>
          <w:p>
            <w:r>
              <w:t>Frontend</w:t>
            </w:r>
          </w:p>
        </w:tc>
        <w:tc>
          <w:tcPr>
            <w:tcW w:type="dxa" w:w="4392"/>
          </w:tcPr>
          <w:p>
            <w:r>
              <w:t>React + Vite, Google Cloud Run (europe-west1)</w:t>
            </w:r>
          </w:p>
        </w:tc>
      </w:tr>
      <w:tr>
        <w:tc>
          <w:tcPr>
            <w:tcW w:type="dxa" w:w="4392"/>
          </w:tcPr>
          <w:p>
            <w:r>
              <w:t>LLM modellek</w:t>
            </w:r>
          </w:p>
        </w:tc>
        <w:tc>
          <w:tcPr>
            <w:tcW w:type="dxa" w:w="4392"/>
          </w:tcPr>
          <w:p>
            <w:r>
              <w:t>GPT-4o, GPT-4o-mini, Claude Sonnet, Gemini Flash</w:t>
            </w:r>
          </w:p>
        </w:tc>
      </w:tr>
      <w:tr>
        <w:tc>
          <w:tcPr>
            <w:tcW w:type="dxa" w:w="4392"/>
          </w:tcPr>
          <w:p>
            <w:r>
              <w:t>GitHub</w:t>
            </w:r>
          </w:p>
        </w:tc>
        <w:tc>
          <w:tcPr>
            <w:tcW w:type="dxa" w:w="4392"/>
          </w:tcPr>
          <w:p>
            <w:r>
              <w:t>github.com/zsigacsaba/neomi-dynamic-llm-agent</w:t>
            </w:r>
          </w:p>
        </w:tc>
      </w:tr>
      <w:tr>
        <w:tc>
          <w:tcPr>
            <w:tcW w:type="dxa" w:w="4392"/>
          </w:tcPr>
          <w:p>
            <w:r>
              <w:t>Branch</w:t>
            </w:r>
          </w:p>
        </w:tc>
        <w:tc>
          <w:tcPr>
            <w:tcW w:type="dxa" w:w="4392"/>
          </w:tcPr>
          <w:p>
            <w:r>
              <w:t>feature/multi-agent-pipeline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