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总体技术方案p01"/>
    <w:p>
      <w:pPr>
        <w:pStyle w:val="Heading2"/>
      </w:pPr>
      <w:r>
        <w:t xml:space="preserve">2. </w:t>
      </w:r>
      <w:r>
        <w:rPr>
          <w:rFonts w:hint="eastAsia"/>
        </w:rPr>
        <w:t xml:space="preserve">总体技术方案【P01】</w:t>
      </w:r>
    </w:p>
    <w:p>
      <w:pPr>
        <w:pStyle w:val="FirstParagraph"/>
      </w:pPr>
      <w:r>
        <w:rPr>
          <w:rFonts w:hint="eastAsia"/>
        </w:rPr>
        <w:t xml:space="preserve">基于招标需求，数据管理平台按”采集—治理—服务”三层架构建设，覆盖全部业务域数据接入、清洗、建模与服务发布，与需求条目逐项对应（响应策略：实质性）。</w:t>
      </w:r>
    </w:p>
    <w:bookmarkEnd w:id="9"/>
    <w:bookmarkStart w:id="10" w:name="数据平台架构与国产化适配p02"/>
    <w:p>
      <w:pPr>
        <w:pStyle w:val="Heading2"/>
      </w:pPr>
      <w:r>
        <w:t xml:space="preserve">3. </w:t>
      </w:r>
      <w:r>
        <w:rPr>
          <w:rFonts w:hint="eastAsia"/>
        </w:rPr>
        <w:t xml:space="preserve">数据平台架构与国产化适配【P02】</w:t>
      </w:r>
    </w:p>
    <w:p>
      <w:pPr>
        <w:pStyle w:val="FirstParagraph"/>
      </w:pPr>
      <w:r>
        <w:rPr>
          <w:rFonts w:hint="eastAsia"/>
        </w:rPr>
        <w:t xml:space="preserve">架构采用存算分离</w:t>
      </w:r>
      <w:r>
        <w:t xml:space="preserve"> + </w:t>
      </w:r>
      <w:r>
        <w:rPr>
          <w:rFonts w:hint="eastAsia"/>
        </w:rPr>
        <w:t xml:space="preserve">国产化适配层（术语见表</w:t>
      </w:r>
      <w:r>
        <w:t xml:space="preserve"> </w:t>
      </w:r>
      <w:r>
        <w:rPr>
          <w:rFonts w:hint="eastAsia"/>
        </w:rPr>
        <w:t xml:space="preserve">CONTEXT.md）。优势说明：在满足”支持国产数据库”的基础上，实现</w:t>
      </w:r>
      <w:r>
        <w:t xml:space="preserve"> PostgreSQL + </w:t>
      </w:r>
      <w:r>
        <w:rPr>
          <w:rFonts w:hint="eastAsia"/>
        </w:rPr>
        <w:t xml:space="preserve">达梦双栈，适配层复用率</w:t>
      </w:r>
      <w:r>
        <w:t xml:space="preserve"> </w:t>
      </w:r>
      <w:r>
        <w:rPr>
          <w:rFonts w:hint="eastAsia"/>
        </w:rPr>
        <w:t xml:space="preserve">90%，较单栈方案降低切换成本（响应策略：正偏离）。</w:t>
      </w:r>
    </w:p>
    <w:p>
      <w:pPr>
        <w:pStyle w:val="BodyText"/>
      </w:pPr>
      <w:r>
        <w:rPr>
          <w:rFonts w:hint="eastAsia"/>
        </w:rPr>
        <w:t xml:space="preserve">国产化适配架构如图</w:t>
      </w:r>
      <w:r>
        <w:t xml:space="preserve"> </w:t>
      </w:r>
      <w:r>
        <w:rPr>
          <w:rFonts w:hint="eastAsia"/>
        </w:rPr>
        <w:t xml:space="preserve">1（见图</w:t>
      </w:r>
      <w:r>
        <w:t xml:space="preserve"> </w:t>
      </w:r>
      <w:r>
        <w:rPr>
          <w:rFonts w:hint="eastAsia"/>
        </w:rPr>
        <w:t xml:space="preserve">配图/图1-国产化适配架构.svg）。</w:t>
      </w:r>
    </w:p>
    <w:bookmarkEnd w:id="10"/>
    <w:bookmarkStart w:id="11" w:name="实施与保障方案p02-辅助"/>
    <w:p>
      <w:pPr>
        <w:pStyle w:val="Heading2"/>
      </w:pPr>
      <w:r>
        <w:t xml:space="preserve">4. </w:t>
      </w:r>
      <w:r>
        <w:rPr>
          <w:rFonts w:hint="eastAsia"/>
        </w:rPr>
        <w:t xml:space="preserve">实施与保障方案【P02</w:t>
      </w:r>
      <w:r>
        <w:t xml:space="preserve"> </w:t>
      </w:r>
      <w:r>
        <w:rPr>
          <w:rFonts w:hint="eastAsia"/>
        </w:rPr>
        <w:t xml:space="preserve">辅助】</w:t>
      </w:r>
    </w:p>
    <w:p>
      <w:pPr>
        <w:pStyle w:val="FirstParagraph"/>
      </w:pPr>
      <w:r>
        <w:rPr>
          <w:rFonts w:hint="eastAsia"/>
        </w:rPr>
        <w:t xml:space="preserve">两年工期分四阶段推进，每阶段设国产化适配层回归测试关卡。</w:t>
      </w:r>
    </w:p>
    <w:bookmarkEnd w:id="11"/>
    <w:bookmarkStart w:id="12" w:name="项目团队与类似业绩p03"/>
    <w:p>
      <w:pPr>
        <w:pStyle w:val="Heading2"/>
      </w:pPr>
      <w:r>
        <w:t xml:space="preserve">5. </w:t>
      </w:r>
      <w:r>
        <w:rPr>
          <w:rFonts w:hint="eastAsia"/>
        </w:rPr>
        <w:t xml:space="preserve">项目团队与类似业绩【P03】</w:t>
      </w:r>
    </w:p>
    <w:p>
      <w:pPr>
        <w:pStyle w:val="FirstParagraph"/>
      </w:pPr>
      <w:r>
        <w:rPr>
          <w:rFonts w:hint="eastAsia"/>
        </w:rPr>
        <w:t xml:space="preserve">架构师张工</w:t>
      </w:r>
      <w:r>
        <w:t xml:space="preserve"> </w:t>
      </w:r>
      <w:r>
        <w:rPr>
          <w:rFonts w:hint="eastAsia"/>
        </w:rPr>
        <w:t xml:space="preserve">[人员-P01]（12</w:t>
      </w:r>
      <w:r>
        <w:t xml:space="preserve"> </w:t>
      </w:r>
      <w:r>
        <w:rPr>
          <w:rFonts w:hint="eastAsia"/>
        </w:rPr>
        <w:t xml:space="preserve">年经验、双栈认证）领衔；类似业绩见</w:t>
      </w:r>
      <w:r>
        <w:t xml:space="preserve"> </w:t>
      </w:r>
      <w:r>
        <w:rPr>
          <w:rFonts w:hint="eastAsia"/>
        </w:rPr>
        <w:t xml:space="preserve">[案例-C01]：智慧园区数据平台，合同额</w:t>
      </w:r>
      <w:r>
        <w:t xml:space="preserve"> 1200 </w:t>
      </w:r>
      <w:r>
        <w:rPr>
          <w:rFonts w:hint="eastAsia"/>
        </w:rPr>
        <w:t xml:space="preserve">万元，PostgreSQL</w:t>
      </w:r>
      <w:r>
        <w:t xml:space="preserve"> + </w:t>
      </w:r>
      <w:r>
        <w:rPr>
          <w:rFonts w:hint="eastAsia"/>
        </w:rPr>
        <w:t xml:space="preserve">达梦双栈，团队</w:t>
      </w:r>
      <w:r>
        <w:t xml:space="preserve"> 15 </w:t>
      </w:r>
      <w:r>
        <w:rPr>
          <w:rFonts w:hint="eastAsia"/>
        </w:rPr>
        <w:t xml:space="preserve">人（响应策略：实质性）。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2026-08-17T11:51:19Z</dcterms:created>
  <dcterms:modified xsi:type="dcterms:W3CDTF">2026-08-17T11:51:19Z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