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2.3. Giải pháp phát huy vai trò của triết học Mác - Lênin đối với sự phát triển khoa học - công nghệ ở Việt Nam hiện nay</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4">
      <w:pPr>
        <w:spacing w:line="360" w:lineRule="auto"/>
        <w:ind w:firstLine="38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5">
      <w:pPr>
        <w:spacing w:line="360" w:lineRule="auto"/>
        <w:ind w:firstLine="38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Tự chủ công nghệ và ứng dụng các thành tựu khoa học tiên tiến hiện nay đã trở thành một yêu cầu tất yếu khách quan đối với Việt Nam nhằm nâng cao năng lực tự lực, tự cường, giảm thiểu sự phụ thuộc vào bên ngoài và khai thác hiệu quả tối đa các tiềm năng nội sinh của đất nước. Dưới góc độ triết học Mác - Lênin, để hiện thực hóa mục tiêu đó, giải pháp phải hướng tới giải quyết triệt để mâu thuẫn biện chứng giữa một bên là lực lượng sản xuất đang đòi hỏi không gian phát triển mạnh mẽ và một bên là quan hệ sản xuất (cơ chế, chính sách) đôi lúc còn bất cập, đồng thời khắc phục sự đứt gãy giữa lý luận và thực tiễn.</w:t>
      </w:r>
    </w:p>
    <w:p w:rsidR="00000000" w:rsidDel="00000000" w:rsidP="00000000" w:rsidRDefault="00000000" w:rsidRPr="00000000" w14:paraId="00000006">
      <w:pPr>
        <w:spacing w:line="360" w:lineRule="auto"/>
        <w:ind w:firstLine="38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Giáo trình Triết học Mác - Lênin nhắc nhở sâu sắc: để giải quyết có hiệu quả những vấn đề phức tạp của cuộc sống, cần phải "kết hợp chặt chẽ cả hai loại tri thức: tri thức chung (trong đó có tri thức triết học và tri thức khoa học chuyên ngành) và tri thức thực tiễn". Dựa trên tinh thần đó, hệ thống năm nhóm giải pháp dưới đây được xây dựng nhằm tháo gỡ các nút thắt thực tiễn, giải phóng triệt để lực lượng sản xuất khoa học - công nghệ của Việt Nam trong giai đoạn vươn mình. </w:t>
      </w:r>
      <w:r w:rsidDel="00000000" w:rsidR="00000000" w:rsidRPr="00000000">
        <w:rPr>
          <w:rtl w:val="0"/>
        </w:rPr>
      </w:r>
    </w:p>
    <w:p w:rsidR="00000000" w:rsidDel="00000000" w:rsidP="00000000" w:rsidRDefault="00000000" w:rsidRPr="00000000" w14:paraId="00000007">
      <w:pPr>
        <w:spacing w:line="360" w:lineRule="auto"/>
        <w:ind w:firstLine="38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8">
      <w:pPr>
        <w:spacing w:line="360" w:lineRule="auto"/>
        <w:ind w:firstLine="38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2.3.1. Hoàn thiện tổ chức nghiên cứu và cơ chế đánh giá</w:t>
      </w:r>
    </w:p>
    <w:p w:rsidR="00000000" w:rsidDel="00000000" w:rsidP="00000000" w:rsidRDefault="00000000" w:rsidRPr="00000000" w14:paraId="0000000A">
      <w:pPr>
        <w:spacing w:line="36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B">
      <w:pPr>
        <w:spacing w:line="360" w:lineRule="auto"/>
        <w:ind w:firstLine="38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Giải pháp này được xây dựng trên cơ sở vận dụng quy luật về sự phù hợp của quan hệ sản xuất với trình độ phát triển của lực lượng sản xuất, sự tác động trở lại của kiến trúc thượng tầng đối với cơ sở hạ tầng kinh tế, và nguyên lý cuộc cách mạng trong tư duy là tiền đề cho mọi cuộc cách mạng trong thực tiễn. Trước hết, đổi mới tư duy quản lý theo tinh thần biện chứng duy vật đòi hỏi phải bắt đầu bằng một cuộc cách mạng trong tư duy chỉ đạo và quản lý khoa học - công nghệ. Chúng ta cần kiên quyết từ bỏ tư duy giáo điều, siêu hình đang cản trở sự phát triển như tư duy "xin - cho" trong phân bổ kinh phí, tư duy "đề tài phải thành công tuyệt đối" triệt tiêu tinh thần mạo hiểm khoa học, hay tư duy "quản lý để kiểm soát" thay vì "quản lý để kiến tạo". Thay vào đó, việc xây dựng tư duy biện chứng linh hoạt, cởi mở, lấy thực tiễn làm tiêu chuẩn kiểm nghiệm chân lý và "lấy doanh nghiệp làm trung tâm nghiên cứu phát triển, ứng dụng và chuyển giao công nghệ" là yêu cầu có tính quyết định.</w:t>
      </w:r>
    </w:p>
    <w:p w:rsidR="00000000" w:rsidDel="00000000" w:rsidP="00000000" w:rsidRDefault="00000000" w:rsidRPr="00000000" w14:paraId="0000000C">
      <w:pPr>
        <w:spacing w:line="360" w:lineRule="auto"/>
        <w:ind w:firstLine="38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Song song với đổi mới tư duy, việc cải cách thể chế và tháo gỡ các nút thắt tài chính đóng vai trò hết sức quan trọng. Triết học Mác – Lênin nhấn mạnh vai trò của phương pháp biện chứng duy vật như là "công cụ quan trọng giúp con người nhận thức và cải tạo thế giới một cách khoa học", đòi hỏi các chính sách quản lý khoa học phải linh hoạt, thực tiễn và không ngừng đổi mới theo nhịp vận động của thực tế. Do đó, Nhà nước cần hoàn thiện hệ thống pháp lý theo hướng rõ ràng, minh bạch, đồng bộ, tinh gọn các thủ tục hành chính trong đầu tư và hợp tác. Việc sửa đổi các quy định tài chính đối với Quỹ Phát triển khoa học - công nghệ (cả quỹ quốc gia và quỹ của doanh nghiệp) sẽ giúp giải quyết nghịch lý "nguồn lực đóng băng", từ đó cho phép và khuyến khích đầu tư vào các dự án R&amp;D có rủi ro cao nhưng tiềm năng lớn.</w:t>
      </w:r>
    </w:p>
    <w:p w:rsidR="00000000" w:rsidDel="00000000" w:rsidP="00000000" w:rsidRDefault="00000000" w:rsidRPr="00000000" w14:paraId="0000000D">
      <w:pPr>
        <w:spacing w:line="360" w:lineRule="auto"/>
        <w:ind w:firstLine="38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Bên cạnh đó, thể chế hóa cơ chế chấp nhận rủi ro và quản lý thử nghiệm là bước đi không thể thiếu. Cần xây dựng văn hóa và quy định chấp nhận rủi ro có kiểm soát, đi kèm cơ chế miễn trừ trách nhiệm hợp lý khi nghiên cứu không đạt kết quả như kỳ vọng, bởi nghiên cứu khoa học bản chất là quá trình biện chứng của việc không ngừng thử nghiệm, sai lầm và hoàn thiện. Đồng thời, việc khẩn trương áp dụng cơ chế quản lý thử nghiệm có kiểm soát (Sandbox) cho các lĩnh vực công nghệ tiên phong như trí tuệ nhân tạo, fintech, công nghệ sinh học, dữ liệu cá nhân sẽ tạo ra không gian sáng tạo an toàn. Cuối cùng, việc phát triển thị trường khoa học - công nghệ thông qua củng cố hệ thống bảo vệ quyền sở hữu trí tuệ nghiêm túc và cơ chế định giá, chuyển nhượng minh bạch sẽ bảo vệ nhà sáng tạo, khuyến khích thương mại hóa kết quả nghiên cứu và thu hút đầu tư tư nhân.</w:t>
      </w:r>
    </w:p>
    <w:p w:rsidR="00000000" w:rsidDel="00000000" w:rsidP="00000000" w:rsidRDefault="00000000" w:rsidRPr="00000000" w14:paraId="0000000E">
      <w:pPr>
        <w:spacing w:line="360" w:lineRule="auto"/>
        <w:ind w:firstLine="38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F">
      <w:pPr>
        <w:spacing w:line="360" w:lineRule="auto"/>
        <w:ind w:firstLine="38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0">
      <w:pPr>
        <w:spacing w:line="36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1">
      <w:pPr>
        <w:spacing w:line="360" w:lineRule="auto"/>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2.3.2. Phát triển con người và nâng cao năng lực tiếp nhận công nghệ</w:t>
      </w:r>
    </w:p>
    <w:p w:rsidR="00000000" w:rsidDel="00000000" w:rsidP="00000000" w:rsidRDefault="00000000" w:rsidRPr="00000000" w14:paraId="00000012">
      <w:pPr>
        <w:spacing w:line="360" w:lineRule="auto"/>
        <w:ind w:firstLine="38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Dựa trên quan điểm của triết học Mác - Lênin, con người là nhân tố trung tâm, là chủ thể sáng tạo, là lực lượng sản xuất hàng đầu và là tài nguyên vô tận của sự phát triển. Con người vừa là sản phẩm vừa là chủ thể sáng tạo của lịch sử, điều đó đặt ra yêu cầu đầu tư cho con người phải được coi là đầu tư sinh lời cao nhất và bền vững nhất. Tận dụng cơ hội dân số vàng và tinh thần ham học hỏi của thế hệ trẻ, chúng ta cần thực hiện nghiêm túc các chủ trương của Đảng, đặc biệt là Nghị quyết 57-NQ/TW bằng cách xây dựng chiến lược đào tạo dài hạn. Chiến lược này cần tập trung mũi nhọn vào các ngành công nghệ chiến lược như Trí tuệ nhân tạo, bán dẫn, điện toán lượng tử, công nghệ sinh học, năng lượng xanh, công nghệ vật liệu mới, công nghệ số và tự động hóa.</w:t>
      </w:r>
    </w:p>
    <w:p w:rsidR="00000000" w:rsidDel="00000000" w:rsidP="00000000" w:rsidRDefault="00000000" w:rsidRPr="00000000" w14:paraId="00000013">
      <w:pPr>
        <w:spacing w:line="360" w:lineRule="auto"/>
        <w:ind w:firstLine="38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đáp ứng yêu cầu trên, việc đổi mới triết lý và chương trình giáo dục là đòi hỏi khách quan. Triết học Mác – Lênin cung cấp cơ sở nhận thức rằng tri thức "không chỉ là sản phẩm của cá nhân mà còn là kết quả của quá trình xã hội hóa". Vì vậy, cần cải cách căn bản hệ thống giáo dục đại học, sau đại học và đào tạo nghề theo hướng kiến tạo tri thức mới, gắn liền với thực tiễn, giảm tải lý thuyết hàn lâm, tăng cường kỹ năng thực hành như lập trình, phân tích dữ liệu, tư duy công nghệ. Việc hình thành các trung tâm đào tạo và nghiên cứu chuyên sâu tại các trường đại học lớn dựa trên sự phối hợp chặt chẽ giữa Nhà nước, doanh nghiệp và cơ sở giáo dục sẽ tạo môi trường rèn luyện toàn diện cho người học.</w:t>
      </w:r>
    </w:p>
    <w:p w:rsidR="00000000" w:rsidDel="00000000" w:rsidP="00000000" w:rsidRDefault="00000000" w:rsidRPr="00000000" w14:paraId="00000014">
      <w:pPr>
        <w:spacing w:line="360" w:lineRule="auto"/>
        <w:ind w:firstLine="38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Ngoài ra, cần triển khai các cơ chế đãi ngộ đột phá và thu hút nhân tài. Vận dụng quy luật phủ định biện chứng để biến "chảy máu chất xám" thành "thu hút chất xám", việc xây dựng chính sách lương đặc thù, môi trường làm việc đạt chuẩn quốc tế và trao quyền tự chủ khoa học rộng rãi sẽ giúp thu hút và giữ chân nhân tài, bao gồm cả đội ngũ trí thức, nhà khoa học Việt kiều tài năng. Tất cả những giải pháp này phải đi đôi với việc tăng cường đầu tư tài chính cho nhân lực, trong đó Nhà nước ưu tiên ngân sách cho giáo dục, đào tạo và nghiên cứu, đồng thời khuyến khích doanh nghiệp tham gia thông qua các quỹ học bổng, quỹ nghiên cứu và các chương trình hỗ trợ khởi nghiệp đổi mới sáng tạo.</w:t>
      </w:r>
    </w:p>
    <w:p w:rsidR="00000000" w:rsidDel="00000000" w:rsidP="00000000" w:rsidRDefault="00000000" w:rsidRPr="00000000" w14:paraId="00000015">
      <w:pPr>
        <w:spacing w:line="360" w:lineRule="auto"/>
        <w:ind w:firstLine="38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6">
      <w:pPr>
        <w:spacing w:line="360" w:lineRule="auto"/>
        <w:ind w:firstLine="38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7">
      <w:pPr>
        <w:spacing w:line="360" w:lineRule="auto"/>
        <w:ind w:firstLine="38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8">
      <w:pPr>
        <w:spacing w:line="360" w:lineRule="auto"/>
        <w:ind w:left="0" w:firstLine="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9">
      <w:pPr>
        <w:spacing w:line="360" w:lineRule="auto"/>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2.3.3. Tổ chức ứng dụng công nghệ trên cơ sở bằng chứng và điều kiện cụ thể</w:t>
      </w:r>
    </w:p>
    <w:p w:rsidR="00000000" w:rsidDel="00000000" w:rsidP="00000000" w:rsidRDefault="00000000" w:rsidRPr="00000000" w14:paraId="0000001A">
      <w:pPr>
        <w:spacing w:line="360" w:lineRule="auto"/>
        <w:ind w:firstLine="38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Giải pháp này dựa trên nguyên lý thực tiễn là cơ sở, động lực, mục tiêu của nhận thức và là tiêu chuẩn kiểm nghiệm chân lý, đồng thời xuất phát từ quan điểm tạo ra tư liệu lao động tiên tiến là thước đo trình độ chinh phục tự nhiên của con người. Yếu tố cốt lõi là thể chế hóa mô hình liên kết "Nhà nước – Nhà trường – Doanh nghiệp" (Triple Helix) nhằm thực hiện triệt để nguyên lý thống nhất giữa lý luận và thực tiễn, giải quyết điểm nghẽn lớn nhất hiện nay là sự đứt gãy giữa nghiên cứu và sản xuất. Trong mô hình liên kết này, Nhà nước giữ vai trò kiến tạo môi trường, định hướng chiến lược và hỗ trợ nguồn lực ban đầu; nhà trường và viện nghiên cứu cung cấp tri thức khoa học nền tảng, đào tạo nhân lực và thực hiện các nghiên cứu cơ bản; còn doanh nghiệp được đặt ở vị trí trung tâm của hệ thống đổi mới sáng tạo, đóng vai trò trực tiếp ứng dụng, thương mại hóa sản phẩm, phản hồi nhu cầu thị trường và đặt hàng cho hoạt động R&amp;D.</w:t>
      </w:r>
    </w:p>
    <w:p w:rsidR="00000000" w:rsidDel="00000000" w:rsidP="00000000" w:rsidRDefault="00000000" w:rsidRPr="00000000" w14:paraId="0000001B">
      <w:pPr>
        <w:spacing w:line="360" w:lineRule="auto"/>
        <w:ind w:firstLine="38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Cùng với việc thiết lập mô hình liên kết, phát triển hạ tầng kết nối và ứng dụng cũng đóng vai trò cấp thiết. Việc xây dựng các trung tâm công nghệ số hóa khu vực đổi mới sáng tạo sẽ đóng vai trò làm cầu nối chuyển giao công nghệ và hỗ trợ hệ sinh thái đổi mới sáng tạo phát triển đồng bộ giữa các vùng, miền. Đồng thời, củng cố nền tảng vật chất - kỹ thuật bằng cách tăng tỷ lệ chi ngân sách cho khoa học - công nghệ, bảo đảm nguồn vốn được phân bổ hiệu quả vào các chương trình trọng điểm quốc gia. Bên cạnh đó, việc đẩy mạnh xã hội hóa nguồn lực, thu hút khu vực tư nhân thông qua các chính sách ưu đãi về thuế, tín dụng, môi trường pháp lý thuận lợi và phát triển các quỹ đầu tư mạo hiểm sẽ tạo ra tiềm lực tài chính vững chắc cho hoạt động ứng dụng công nghệ. </w:t>
      </w:r>
    </w:p>
    <w:p w:rsidR="00000000" w:rsidDel="00000000" w:rsidP="00000000" w:rsidRDefault="00000000" w:rsidRPr="00000000" w14:paraId="0000001C">
      <w:pPr>
        <w:spacing w:line="360" w:lineRule="auto"/>
        <w:ind w:firstLine="38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D">
      <w:pPr>
        <w:spacing w:line="360" w:lineRule="auto"/>
        <w:ind w:firstLine="38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E">
      <w:pPr>
        <w:spacing w:line="360" w:lineRule="auto"/>
        <w:ind w:left="0" w:firstLine="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F">
      <w:pPr>
        <w:spacing w:line="360" w:lineRule="auto"/>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2.3.4. Gắn tiến bộ công nghệ với công bằng, môi trường và trách nhiệm</w:t>
      </w:r>
    </w:p>
    <w:p w:rsidR="00000000" w:rsidDel="00000000" w:rsidP="00000000" w:rsidRDefault="00000000" w:rsidRPr="00000000" w14:paraId="00000020">
      <w:pPr>
        <w:spacing w:line="360" w:lineRule="auto"/>
        <w:ind w:firstLine="38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giải pháp này quán triệt sâu sắc bản chất nhân văn của triết học Mác - Lênin, đó là phát triển lực lượng sản xuất phải phục vụ con người, giải quyết hài hòa các quan hệ xã hội và bảo đảm sự cân bằng trong quá trình cải tạo thế giới. Trước hết, cần bảo đảm hài hòa lợi ích và an toàn pháp lý bằng cách hoàn thiện hệ thống chính sách sao cho hài hòa lợi ích giữa ba bên: Nhà nước, doanh nghiệp và cộng đồng khoa học, hướng tới xây dựng một môi trường phát triển lành mạnh và bền vững. Đi đôi với đó là thực thi nghiêm túc hệ thống bảo vệ quyền sở hữu trí tuệ để tạo hành hành pháp lý an toàn, niềm tin vững chắc và sự ghi nhận xứng đáng của xã hội đối với các nhà sáng tạo.</w:t>
      </w:r>
    </w:p>
    <w:p w:rsidR="00000000" w:rsidDel="00000000" w:rsidP="00000000" w:rsidRDefault="00000000" w:rsidRPr="00000000" w14:paraId="00000021">
      <w:pPr>
        <w:spacing w:line="360" w:lineRule="auto"/>
        <w:ind w:firstLine="38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Mặt khác, việc tạo không gian thử nghiệm an toàn cho xã hội thông qua cơ chế quản lý thử nghiệm có kiểm soát (Sandbox) đối với các công nghệ mới như AI hay dữ liệu cá nhân sẽ giúp quản lý rủi ro trước khi nhân rộng, đảm bảo tiến bộ công nghệ không gây tổn hại đến an ninh và quyền riêng tư của con người. Ngoài ra, tiến bộ công nghệ phải gắn liền với định hướng phát triển bền vững. Bằng việc tập trung nguồn lực vào các lĩnh vực công nghệ xanh, công nghệ sinh học, năng lượng xanh và công nghệ vật liệu mới, Việt Nam sẽ khai thác hiệu quả tiềm năng nội sinh, bảo vệ môi trường sinh thái và hướng tới các mục tiêu phát triển quốc gia dài hạn đến năm 2045.</w:t>
      </w:r>
    </w:p>
    <w:p w:rsidR="00000000" w:rsidDel="00000000" w:rsidP="00000000" w:rsidRDefault="00000000" w:rsidRPr="00000000" w14:paraId="00000022">
      <w:pPr>
        <w:spacing w:line="360" w:lineRule="auto"/>
        <w:ind w:left="0" w:firstLine="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23">
      <w:pPr>
        <w:spacing w:line="360" w:lineRule="auto"/>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2.3.5. Tổ chức thực hiện và tiêu chí theo dõi</w:t>
      </w:r>
    </w:p>
    <w:p w:rsidR="00000000" w:rsidDel="00000000" w:rsidP="00000000" w:rsidRDefault="00000000" w:rsidRPr="00000000" w14:paraId="00000024">
      <w:pPr>
        <w:spacing w:line="360" w:lineRule="auto"/>
        <w:ind w:firstLine="38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Giải pháp này vận dụng quy luật phủ định biện chứng (quá trình phát triển đi từ tiếp nhận đến sáng tạo) và nguyên tắc thống nhất giữa lý luận và thực tiễn để bảo đảm các nhóm giải pháp được hiện thực hóa một cách đồng bộ, hệ thống và hiệu quả. Trước hết, việc thực thi chiến lược hội nhập và chuyển giao công nghệ thông minh đòi hỏi phải tranh thủ ngoại lực kết hợp với phát huy nội lực theo phương châm "đứng trên vai người khổng lồ". Triết học Mác – Lênin là "cơ sở lý luận để phân tích các xu thế phát triển của thời đại như toàn cầu hóa, kinh tế tri thức và cách mạng công nghiệp lần thứ tư", giúp nhận thức rõ không quốc gia nào có thể phát triển khoa học - công nghệ trong sự cô lập. Vì vậy, cần chuyển dịch dứt khoát chiến lược thu hút FDI từ "thâm dụng lao động" sang "thâm dụng tri thức", ưu tiên các dự án công nghệ cao kèm theo các ràng buộc pháp lý về tỷ lệ nội địa hóa, cam kết chuyển giao công nghệ và đào tạo nhân lực địa phương.</w:t>
      </w:r>
    </w:p>
    <w:p w:rsidR="00000000" w:rsidDel="00000000" w:rsidP="00000000" w:rsidRDefault="00000000" w:rsidRPr="00000000" w14:paraId="00000025">
      <w:pPr>
        <w:spacing w:line="360" w:lineRule="auto"/>
        <w:ind w:firstLine="38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Nhằm thực hiện quy trình phủ định biện chứng trong chủ động công nghệ, Việt Nam không dừng lại ở việc tiếp nhận hay nhập khẩu công nghệ thụ động mà phải tiến tới thích nghi, cải tiến, bản địa hóa và cuối cùng là sáng tạo ra công nghệ mới trên nền tảng đã tiếp nhận, học tập kinh nghiệm thành công của các nước đi trước như Nhật Bản, Hàn Quốc, Đài Loan. Cuối cùng, phải lấy thực tiễn sinh động làm thước đo kiểm nghiệm bằng việc hiện thực hóa lời hiệu triệu trong Văn kiện Đại hội XIII của Đảng: "Thúc đẩy mạnh mẽ chuyển đổi số quốc gia, phát triển kinh tế số trên nền tảng khoa học và công nghệ, đổi mới sáng tạo". Kết quả chuyển biến trong thực tiễn sản xuất, năng lực tự chủ công nghệ và sự vươn mình của đất nước chính là tiêu chí tối cao để theo dõi, đánh giá hiệu quả của toàn bộ hệ thống giải pháp.</w:t>
      </w:r>
    </w:p>
    <w:p w:rsidR="00000000" w:rsidDel="00000000" w:rsidP="00000000" w:rsidRDefault="00000000" w:rsidRPr="00000000" w14:paraId="00000026">
      <w:pPr>
        <w:spacing w:line="360" w:lineRule="auto"/>
        <w:ind w:firstLine="38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7">
      <w:pPr>
        <w:spacing w:line="360" w:lineRule="auto"/>
        <w:ind w:firstLine="38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LIỆU TRÍCH DẪN / TÀI LIỆU THAM KHẢO</w:t>
      </w:r>
    </w:p>
    <w:p w:rsidR="00000000" w:rsidDel="00000000" w:rsidP="00000000" w:rsidRDefault="00000000" w:rsidRPr="00000000" w14:paraId="00000028">
      <w:pPr>
        <w:spacing w:line="360" w:lineRule="auto"/>
        <w:ind w:firstLine="38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9">
      <w:pPr>
        <w:spacing w:line="360" w:lineRule="auto"/>
        <w:ind w:firstLine="38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Bộ Giáo dục và Đào tạo. Giáo trình Triết học Mác - Lênin, tr.21. </w:t>
      </w:r>
    </w:p>
    <w:p w:rsidR="00000000" w:rsidDel="00000000" w:rsidP="00000000" w:rsidRDefault="00000000" w:rsidRPr="00000000" w14:paraId="0000002A">
      <w:pPr>
        <w:spacing w:line="360" w:lineRule="auto"/>
        <w:ind w:firstLine="38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Đảng Cộng sản Việt Nam (2021). Văn kiện Đại hội đại biểu toàn quốc lần thứ XIII, Tập 1, NXB Chính trị Quốc gia Sự thật, Hà Nội, tr.232. </w:t>
      </w:r>
    </w:p>
    <w:p w:rsidR="00000000" w:rsidDel="00000000" w:rsidP="00000000" w:rsidRDefault="00000000" w:rsidRPr="00000000" w14:paraId="0000002B">
      <w:pPr>
        <w:spacing w:line="360" w:lineRule="auto"/>
        <w:ind w:firstLine="38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Bộ Giáo dục và Đào tạo. Giáo trình Triết học Mác - Lênin, tr.12. </w:t>
      </w:r>
    </w:p>
    <w:p w:rsidR="00000000" w:rsidDel="00000000" w:rsidP="00000000" w:rsidRDefault="00000000" w:rsidRPr="00000000" w14:paraId="0000002C">
      <w:pPr>
        <w:spacing w:line="360" w:lineRule="auto"/>
        <w:ind w:firstLine="38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Bộ Chính trị. Nghị quyết số 57-NQ/TW về phát triển và ứng dụng khoa học - công nghệ, đổi mới sáng tạo. </w:t>
      </w:r>
    </w:p>
    <w:p w:rsidR="00000000" w:rsidDel="00000000" w:rsidP="00000000" w:rsidRDefault="00000000" w:rsidRPr="00000000" w14:paraId="0000002D">
      <w:pPr>
        <w:spacing w:line="360" w:lineRule="auto"/>
        <w:ind w:firstLine="38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Bộ Giáo dục và Đào tạo. Giáo trình Triết học Mác - Lênin, tr.102. </w:t>
      </w:r>
    </w:p>
    <w:p w:rsidR="00000000" w:rsidDel="00000000" w:rsidP="00000000" w:rsidRDefault="00000000" w:rsidRPr="00000000" w14:paraId="0000002E">
      <w:pPr>
        <w:spacing w:line="360" w:lineRule="auto"/>
        <w:ind w:firstLine="38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Bộ Giáo dục và Đào tạo. Giáo trình Triết học Mác - Lênin, tr.89. </w:t>
      </w:r>
    </w:p>
    <w:p w:rsidR="00000000" w:rsidDel="00000000" w:rsidP="00000000" w:rsidRDefault="00000000" w:rsidRPr="00000000" w14:paraId="0000002F">
      <w:pPr>
        <w:spacing w:line="360" w:lineRule="auto"/>
        <w:ind w:firstLine="38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Bộ Giáo dục và Đào tạo. Giáo trình Triết học Mác - Lênin, tr.110. </w:t>
      </w:r>
    </w:p>
    <w:p w:rsidR="00000000" w:rsidDel="00000000" w:rsidP="00000000" w:rsidRDefault="00000000" w:rsidRPr="00000000" w14:paraId="00000030">
      <w:pPr>
        <w:spacing w:line="360" w:lineRule="auto"/>
        <w:ind w:firstLine="38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Đảng Cộng sản Việt Nam (2021). Văn kiện Đại hội đại biểu toàn quốc lần thứ XIII, Tập 1, NXB Chính trị Quốc gia Sự thật, Hà Nội, tr.232.</w:t>
      </w:r>
    </w:p>
    <w:p w:rsidR="00000000" w:rsidDel="00000000" w:rsidP="00000000" w:rsidRDefault="00000000" w:rsidRPr="00000000" w14:paraId="00000031">
      <w:pPr>
        <w:spacing w:line="360" w:lineRule="auto"/>
        <w:ind w:firstLine="38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sectPr>
      <w:footerReference r:id="rId7" w:type="default"/>
      <w:pgSz w:h="16840" w:w="11900" w:orient="portrait"/>
      <w:pgMar w:bottom="1134" w:top="1134" w:left="1418" w:right="851" w:header="284" w:footer="28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spacing w:line="14.399999999999999" w:lineRule="auto"/>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ourier New" w:cs="Courier New" w:eastAsia="Courier New" w:hAnsi="Courier New"/>
        <w:sz w:val="24"/>
        <w:szCs w:val="24"/>
        <w:lang w:val="vi"/>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Footnote" w:customStyle="1">
    <w:name w:val="Footnote_"/>
    <w:basedOn w:val="DefaultParagraphFont"/>
    <w:link w:val="Footnote0"/>
    <w:rPr>
      <w:rFonts w:ascii="Times New Roman" w:cs="Times New Roman" w:eastAsia="Times New Roman" w:hAnsi="Times New Roman"/>
      <w:b w:val="0"/>
      <w:bCs w:val="0"/>
      <w:i w:val="0"/>
      <w:iCs w:val="0"/>
      <w:smallCaps w:val="0"/>
      <w:strike w:val="0"/>
      <w:sz w:val="20"/>
      <w:szCs w:val="20"/>
      <w:u w:val="none"/>
      <w:shd w:color="auto" w:fill="auto" w:val="clear"/>
    </w:rPr>
  </w:style>
  <w:style w:type="character" w:styleId="BodyTextChar" w:customStyle="1">
    <w:name w:val="Body Text Char"/>
    <w:basedOn w:val="DefaultParagraphFont"/>
    <w:link w:val="BodyText"/>
    <w:rPr>
      <w:rFonts w:ascii="Times New Roman" w:cs="Times New Roman" w:eastAsia="Times New Roman" w:hAnsi="Times New Roman"/>
      <w:b w:val="0"/>
      <w:bCs w:val="0"/>
      <w:i w:val="0"/>
      <w:iCs w:val="0"/>
      <w:smallCaps w:val="0"/>
      <w:strike w:val="0"/>
      <w:sz w:val="26"/>
      <w:szCs w:val="26"/>
      <w:u w:val="none"/>
      <w:shd w:color="auto" w:fill="auto" w:val="clear"/>
    </w:rPr>
  </w:style>
  <w:style w:type="character" w:styleId="Bodytext2" w:customStyle="1">
    <w:name w:val="Body text (2)_"/>
    <w:basedOn w:val="DefaultParagraphFont"/>
    <w:link w:val="Bodytext20"/>
    <w:rPr>
      <w:rFonts w:ascii="Times New Roman" w:cs="Times New Roman" w:eastAsia="Times New Roman" w:hAnsi="Times New Roman"/>
      <w:b w:val="0"/>
      <w:bCs w:val="0"/>
      <w:i w:val="0"/>
      <w:iCs w:val="0"/>
      <w:smallCaps w:val="0"/>
      <w:strike w:val="0"/>
      <w:sz w:val="20"/>
      <w:szCs w:val="20"/>
      <w:u w:val="none"/>
      <w:shd w:color="auto" w:fill="auto" w:val="clear"/>
    </w:rPr>
  </w:style>
  <w:style w:type="character" w:styleId="Headerorfooter2" w:customStyle="1">
    <w:name w:val="Header or footer (2)_"/>
    <w:basedOn w:val="DefaultParagraphFont"/>
    <w:link w:val="Headerorfooter20"/>
    <w:rPr>
      <w:rFonts w:ascii="Times New Roman" w:cs="Times New Roman" w:eastAsia="Times New Roman" w:hAnsi="Times New Roman"/>
      <w:b w:val="0"/>
      <w:bCs w:val="0"/>
      <w:i w:val="0"/>
      <w:iCs w:val="0"/>
      <w:smallCaps w:val="0"/>
      <w:strike w:val="0"/>
      <w:sz w:val="20"/>
      <w:szCs w:val="20"/>
      <w:u w:val="none"/>
      <w:shd w:color="auto" w:fill="auto" w:val="clear"/>
    </w:rPr>
  </w:style>
  <w:style w:type="paragraph" w:styleId="Footnote0" w:customStyle="1">
    <w:name w:val="Footnote"/>
    <w:basedOn w:val="Normal"/>
    <w:link w:val="Footnote"/>
    <w:pPr>
      <w:spacing w:line="276" w:lineRule="auto"/>
    </w:pPr>
    <w:rPr>
      <w:rFonts w:ascii="Times New Roman" w:cs="Times New Roman" w:eastAsia="Times New Roman" w:hAnsi="Times New Roman"/>
      <w:sz w:val="20"/>
      <w:szCs w:val="20"/>
    </w:rPr>
  </w:style>
  <w:style w:type="paragraph" w:styleId="BodyText">
    <w:name w:val="Body Text"/>
    <w:basedOn w:val="Normal"/>
    <w:link w:val="BodyTextChar"/>
    <w:qFormat w:val="1"/>
    <w:pPr>
      <w:spacing w:after="200" w:line="276" w:lineRule="auto"/>
      <w:ind w:firstLine="380"/>
    </w:pPr>
    <w:rPr>
      <w:rFonts w:ascii="Times New Roman" w:cs="Times New Roman" w:eastAsia="Times New Roman" w:hAnsi="Times New Roman"/>
      <w:sz w:val="26"/>
      <w:szCs w:val="26"/>
    </w:rPr>
  </w:style>
  <w:style w:type="paragraph" w:styleId="Bodytext20" w:customStyle="1">
    <w:name w:val="Body text (2)"/>
    <w:basedOn w:val="Normal"/>
    <w:link w:val="Bodytext2"/>
    <w:pPr>
      <w:spacing w:after="160" w:line="276" w:lineRule="auto"/>
    </w:pPr>
    <w:rPr>
      <w:rFonts w:ascii="Times New Roman" w:cs="Times New Roman" w:eastAsia="Times New Roman" w:hAnsi="Times New Roman"/>
      <w:sz w:val="20"/>
      <w:szCs w:val="20"/>
    </w:rPr>
  </w:style>
  <w:style w:type="paragraph" w:styleId="Headerorfooter20" w:customStyle="1">
    <w:name w:val="Header or footer (2)"/>
    <w:basedOn w:val="Normal"/>
    <w:link w:val="Headerorfooter2"/>
    <w:rPr>
      <w:rFonts w:ascii="Times New Roman" w:cs="Times New Roman" w:eastAsia="Times New Roman" w:hAnsi="Times New Roman"/>
      <w:sz w:val="20"/>
      <w:szCs w:val="20"/>
    </w:rPr>
  </w:style>
  <w:style w:type="paragraph" w:styleId="Header">
    <w:name w:val="header"/>
    <w:basedOn w:val="Normal"/>
    <w:link w:val="HeaderChar"/>
    <w:uiPriority w:val="99"/>
    <w:unhideWhenUsed w:val="1"/>
    <w:rsid w:val="002A02A8"/>
    <w:pPr>
      <w:tabs>
        <w:tab w:val="center" w:pos="4680"/>
        <w:tab w:val="right" w:pos="9360"/>
      </w:tabs>
    </w:pPr>
  </w:style>
  <w:style w:type="character" w:styleId="HeaderChar" w:customStyle="1">
    <w:name w:val="Header Char"/>
    <w:basedOn w:val="DefaultParagraphFont"/>
    <w:link w:val="Header"/>
    <w:uiPriority w:val="99"/>
    <w:rsid w:val="002A02A8"/>
    <w:rPr>
      <w:color w:val="000000"/>
    </w:rPr>
  </w:style>
  <w:style w:type="paragraph" w:styleId="Footer">
    <w:name w:val="footer"/>
    <w:basedOn w:val="Normal"/>
    <w:link w:val="FooterChar"/>
    <w:uiPriority w:val="99"/>
    <w:unhideWhenUsed w:val="1"/>
    <w:rsid w:val="002A02A8"/>
    <w:pPr>
      <w:tabs>
        <w:tab w:val="center" w:pos="4680"/>
        <w:tab w:val="right" w:pos="9360"/>
      </w:tabs>
    </w:pPr>
  </w:style>
  <w:style w:type="character" w:styleId="FooterChar" w:customStyle="1">
    <w:name w:val="Footer Char"/>
    <w:basedOn w:val="DefaultParagraphFont"/>
    <w:link w:val="Footer"/>
    <w:uiPriority w:val="99"/>
    <w:rsid w:val="002A02A8"/>
    <w:rPr>
      <w:color w:val="000000"/>
    </w:rPr>
  </w:style>
  <w:style w:type="paragraph" w:styleId="FootnoteText">
    <w:name w:val="footnote text"/>
    <w:basedOn w:val="Normal"/>
    <w:link w:val="FootnoteTextChar"/>
    <w:uiPriority w:val="99"/>
    <w:unhideWhenUsed w:val="1"/>
    <w:rsid w:val="00372570"/>
    <w:rPr>
      <w:sz w:val="20"/>
      <w:szCs w:val="20"/>
    </w:rPr>
  </w:style>
  <w:style w:type="character" w:styleId="FootnoteTextChar" w:customStyle="1">
    <w:name w:val="Footnote Text Char"/>
    <w:basedOn w:val="DefaultParagraphFont"/>
    <w:link w:val="FootnoteText"/>
    <w:uiPriority w:val="99"/>
    <w:rsid w:val="00372570"/>
    <w:rPr>
      <w:color w:val="000000"/>
      <w:sz w:val="20"/>
      <w:szCs w:val="20"/>
    </w:rPr>
  </w:style>
  <w:style w:type="character" w:styleId="FootnoteReference">
    <w:name w:val="footnote reference"/>
    <w:basedOn w:val="DefaultParagraphFont"/>
    <w:uiPriority w:val="99"/>
    <w:semiHidden w:val="1"/>
    <w:unhideWhenUsed w:val="1"/>
    <w:rsid w:val="00372570"/>
    <w:rPr>
      <w:vertAlign w:val="superscript"/>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YH5g+DDw+E+1ioE+7k/raXsvAg==">CgMxLjA4AHIhMXptdnhneUo5SG9pbU5vZUpKbXA3Q3ZyUTJ5M2p6cGp2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2026-09-28T07:54:00Z</dcterms:created>
</cp:coreProperties>
</file>