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2447"/>
        <w:gridCol w:w="6193"/>
        <w:gridCol w:w="2117"/>
      </w:tblGrid>
      <w:tr w:rsidR="008678CA" w:rsidTr="000E6075">
        <w:trPr>
          <w:trHeight w:val="331"/>
        </w:trPr>
        <w:tc>
          <w:tcPr>
            <w:tcW w:w="8640" w:type="dxa"/>
            <w:gridSpan w:val="2"/>
          </w:tcPr>
          <w:p w:rsidR="008678CA" w:rsidRDefault="000A7489">
            <w:pPr>
              <w:rPr>
                <w:sz w:val="14"/>
                <w:szCs w:val="14"/>
              </w:rPr>
            </w:pPr>
            <w:r>
              <w:rPr>
                <w:sz w:val="14"/>
                <w:szCs w:val="14"/>
              </w:rPr>
              <w:t>Preliminary Pricing Supplement</w:t>
            </w:r>
          </w:p>
          <w:p w:rsidR="008678CA" w:rsidRDefault="000A7489" w:rsidP="0047392A">
            <w:pPr>
              <w:rPr>
                <w:sz w:val="14"/>
                <w:szCs w:val="14"/>
              </w:rPr>
            </w:pPr>
            <w:r>
              <w:rPr>
                <w:sz w:val="14"/>
                <w:szCs w:val="14"/>
              </w:rPr>
              <w:t>(</w:t>
            </w:r>
            <w:r w:rsidR="007631C4" w:rsidRPr="00E52279">
              <w:rPr>
                <w:sz w:val="14"/>
                <w:szCs w:val="14"/>
              </w:rPr>
              <w:t xml:space="preserve">To the Prospectus dated </w:t>
            </w:r>
            <w:r w:rsidR="007631C4">
              <w:rPr>
                <w:sz w:val="14"/>
                <w:szCs w:val="14"/>
              </w:rPr>
              <w:t>August 1, 2019</w:t>
            </w:r>
            <w:r w:rsidR="0047392A">
              <w:rPr>
                <w:sz w:val="14"/>
                <w:szCs w:val="14"/>
              </w:rPr>
              <w:t>,</w:t>
            </w:r>
            <w:r w:rsidR="007631C4">
              <w:rPr>
                <w:sz w:val="14"/>
                <w:szCs w:val="14"/>
              </w:rPr>
              <w:t xml:space="preserve"> t</w:t>
            </w:r>
            <w:r w:rsidR="007631C4" w:rsidRPr="00E52279">
              <w:rPr>
                <w:sz w:val="14"/>
                <w:szCs w:val="14"/>
              </w:rPr>
              <w:t>he</w:t>
            </w:r>
            <w:r w:rsidR="007631C4">
              <w:rPr>
                <w:sz w:val="14"/>
                <w:szCs w:val="14"/>
              </w:rPr>
              <w:t xml:space="preserve"> </w:t>
            </w:r>
            <w:r w:rsidR="007631C4" w:rsidRPr="00E52279">
              <w:rPr>
                <w:sz w:val="14"/>
                <w:szCs w:val="14"/>
              </w:rPr>
              <w:t xml:space="preserve">Prospectus Supplement dated </w:t>
            </w:r>
            <w:r w:rsidR="007631C4">
              <w:rPr>
                <w:sz w:val="14"/>
                <w:szCs w:val="14"/>
              </w:rPr>
              <w:t xml:space="preserve">August 1, 2019 </w:t>
            </w:r>
            <w:r w:rsidR="007631C4" w:rsidRPr="004260E9">
              <w:rPr>
                <w:sz w:val="14"/>
                <w:szCs w:val="14"/>
              </w:rPr>
              <w:t xml:space="preserve">and the </w:t>
            </w:r>
            <w:r w:rsidR="007631C4">
              <w:rPr>
                <w:sz w:val="14"/>
                <w:szCs w:val="14"/>
              </w:rPr>
              <w:t>Underlying</w:t>
            </w:r>
            <w:r w:rsidR="007631C4" w:rsidRPr="004260E9">
              <w:rPr>
                <w:sz w:val="14"/>
                <w:szCs w:val="14"/>
              </w:rPr>
              <w:t xml:space="preserve"> Supplemen</w:t>
            </w:r>
            <w:bookmarkStart w:id="0" w:name="_GoBack"/>
            <w:bookmarkEnd w:id="0"/>
            <w:r w:rsidR="007631C4" w:rsidRPr="004260E9">
              <w:rPr>
                <w:sz w:val="14"/>
                <w:szCs w:val="14"/>
              </w:rPr>
              <w:t xml:space="preserve">t dated </w:t>
            </w:r>
            <w:r w:rsidR="007631C4">
              <w:rPr>
                <w:sz w:val="14"/>
                <w:szCs w:val="14"/>
              </w:rPr>
              <w:t>August 1, 2019</w:t>
            </w:r>
            <w:r>
              <w:rPr>
                <w:sz w:val="14"/>
                <w:szCs w:val="14"/>
              </w:rPr>
              <w:t>)</w:t>
            </w:r>
          </w:p>
        </w:tc>
        <w:tc>
          <w:tcPr>
            <w:tcW w:w="2117" w:type="dxa"/>
          </w:tcPr>
          <w:p w:rsidR="008678CA" w:rsidRDefault="000A7489">
            <w:pPr>
              <w:jc w:val="right"/>
              <w:rPr>
                <w:sz w:val="14"/>
                <w:szCs w:val="14"/>
              </w:rPr>
            </w:pPr>
            <w:r>
              <w:rPr>
                <w:sz w:val="14"/>
                <w:szCs w:val="14"/>
              </w:rPr>
              <w:t>Filed Pursuant to Rule 424(b)(2)</w:t>
            </w:r>
          </w:p>
          <w:p w:rsidR="008678CA" w:rsidRDefault="004A29FA" w:rsidP="002D69DA">
            <w:pPr>
              <w:spacing w:after="40"/>
              <w:jc w:val="right"/>
              <w:rPr>
                <w:sz w:val="14"/>
                <w:szCs w:val="14"/>
              </w:rPr>
            </w:pPr>
            <w:r>
              <w:rPr>
                <w:sz w:val="14"/>
                <w:szCs w:val="14"/>
              </w:rPr>
              <w:t>Registration No. 333</w:t>
            </w:r>
            <w:r w:rsidR="00D63D96">
              <w:rPr>
                <w:sz w:val="14"/>
                <w:szCs w:val="14"/>
              </w:rPr>
              <w:t>–</w:t>
            </w:r>
            <w:r w:rsidR="002D69DA">
              <w:rPr>
                <w:sz w:val="14"/>
                <w:szCs w:val="14"/>
              </w:rPr>
              <w:t>232144</w:t>
            </w:r>
          </w:p>
        </w:tc>
      </w:tr>
      <w:tr w:rsidR="008678CA" w:rsidTr="000E6075">
        <w:tc>
          <w:tcPr>
            <w:tcW w:w="2447" w:type="dxa"/>
            <w:vAlign w:val="center"/>
          </w:tcPr>
          <w:p w:rsidR="008678CA" w:rsidRDefault="008678CA" w:rsidP="00EE41DB">
            <w:pPr>
              <w:pStyle w:val="Title1"/>
              <w:spacing w:after="60"/>
              <w:rPr>
                <w:sz w:val="12"/>
                <w:szCs w:val="12"/>
              </w:rPr>
            </w:pPr>
          </w:p>
          <w:p w:rsidR="008678CA" w:rsidRDefault="008A5210" w:rsidP="00EE41DB">
            <w:pPr>
              <w:pStyle w:val="Title1"/>
              <w:spacing w:after="60"/>
            </w:pPr>
            <w:r>
              <w:rPr>
                <w:b w:val="0"/>
                <w:i/>
                <w:noProof/>
                <w:sz w:val="16"/>
                <w:szCs w:val="16"/>
                <w:lang w:val="en-US" w:eastAsia="en-US"/>
              </w:rPr>
              <mc:AlternateContent>
                <mc:Choice Requires="wps">
                  <w:drawing>
                    <wp:anchor distT="0" distB="0" distL="114300" distR="114300" simplePos="0" relativeHeight="251656704" behindDoc="0" locked="0" layoutInCell="1" allowOverlap="1">
                      <wp:simplePos x="0" y="0"/>
                      <wp:positionH relativeFrom="column">
                        <wp:posOffset>-455930</wp:posOffset>
                      </wp:positionH>
                      <wp:positionV relativeFrom="paragraph">
                        <wp:posOffset>297815</wp:posOffset>
                      </wp:positionV>
                      <wp:extent cx="381000" cy="789051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789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5E04" w:rsidRDefault="007C5E04">
                                  <w:pPr>
                                    <w:rPr>
                                      <w:rFonts w:ascii="Arial" w:hAnsi="Arial" w:cs="Arial"/>
                                      <w:b/>
                                      <w:color w:val="0000FF"/>
                                      <w:sz w:val="14"/>
                                      <w:szCs w:val="14"/>
                                    </w:rPr>
                                  </w:pPr>
                                  <w:r>
                                    <w:rPr>
                                      <w:b/>
                                      <w:color w:val="FF0000"/>
                                      <w:sz w:val="14"/>
                                      <w:szCs w:val="14"/>
                                    </w:rPr>
                                    <w:t>The information in this preliminary pricing supplement is not complete and may be changed</w:t>
                                  </w:r>
                                  <w:r w:rsidRPr="00D63D96">
                                    <w:rPr>
                                      <w:color w:val="FF0000"/>
                                      <w:sz w:val="14"/>
                                      <w:szCs w:val="14"/>
                                    </w:rPr>
                                    <w:t>.</w:t>
                                  </w:r>
                                  <w:r>
                                    <w:rPr>
                                      <w:b/>
                                      <w:color w:val="FF0000"/>
                                      <w:sz w:val="14"/>
                                      <w:szCs w:val="14"/>
                                    </w:rPr>
                                    <w:t> This preliminary pricing supplement and the accompanying prospectus</w:t>
                                  </w:r>
                                  <w:r w:rsidRPr="00D63D96">
                                    <w:rPr>
                                      <w:color w:val="FF0000"/>
                                      <w:sz w:val="14"/>
                                      <w:szCs w:val="14"/>
                                    </w:rPr>
                                    <w:t>,</w:t>
                                  </w:r>
                                  <w:r>
                                    <w:rPr>
                                      <w:b/>
                                      <w:color w:val="FF0000"/>
                                      <w:sz w:val="14"/>
                                      <w:szCs w:val="14"/>
                                    </w:rPr>
                                    <w:t xml:space="preserve"> prospectus supplement and underlying supplement do not constitute an offer to sell the Notes</w:t>
                                  </w:r>
                                  <w:r w:rsidRPr="00D63D96">
                                    <w:rPr>
                                      <w:color w:val="FF0000"/>
                                      <w:sz w:val="14"/>
                                      <w:szCs w:val="14"/>
                                    </w:rPr>
                                    <w:t>,</w:t>
                                  </w:r>
                                  <w:r>
                                    <w:rPr>
                                      <w:rFonts w:ascii="Arial" w:hAnsi="Arial" w:cs="Arial"/>
                                      <w:b/>
                                      <w:color w:val="0000FF"/>
                                      <w:sz w:val="14"/>
                                      <w:szCs w:val="14"/>
                                    </w:rPr>
                                    <w:t> </w:t>
                                  </w:r>
                                  <w:r>
                                    <w:rPr>
                                      <w:b/>
                                      <w:color w:val="FF0000"/>
                                      <w:sz w:val="14"/>
                                      <w:szCs w:val="14"/>
                                    </w:rPr>
                                    <w:t>and we are not soliciting an offer to buy the Notes in any state where the offer or sale is not permitted</w:t>
                                  </w:r>
                                  <w:r w:rsidRPr="00D63D96">
                                    <w:rPr>
                                      <w:color w:val="FF0000"/>
                                      <w:sz w:val="14"/>
                                      <w:szCs w:val="14"/>
                                    </w:rPr>
                                    <w:t>.</w:t>
                                  </w:r>
                                </w:p>
                                <w:p w:rsidR="007C5E04" w:rsidRDefault="007C5E04">
                                  <w:pPr>
                                    <w:rPr>
                                      <w:rFonts w:ascii="Arial" w:hAnsi="Arial" w:cs="Arial"/>
                                      <w:b/>
                                      <w:color w:val="FF0000"/>
                                      <w:sz w:val="16"/>
                                      <w:szCs w:val="16"/>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5.9pt;margin-top:23.45pt;width:30pt;height:621.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" filled="f" stroked="f">
                      <v:textbox style="layout-flow:vertical;mso-layout-flow-alt:bottom-to-top">
                        <w:txbxContent>
                          <w:p w:rsidR="007C5E04" w:rsidRDefault="007C5E04">
                            <w:pPr>
                              <w:rPr>
                                <w:rFonts w:ascii="Arial" w:hAnsi="Arial" w:cs="Arial"/>
                                <w:b/>
                                <w:color w:val="0000FF"/>
                                <w:sz w:val="14"/>
                                <w:szCs w:val="14"/>
                              </w:rPr>
                            </w:pPr>
                            <w:r>
                              <w:rPr>
                                <w:b/>
                                <w:color w:val="FF0000"/>
                                <w:sz w:val="14"/>
                                <w:szCs w:val="14"/>
                              </w:rPr>
                              <w:t>The information in this preliminary pricing supplement is not complete and may be changed</w:t>
                            </w:r>
                            <w:r w:rsidRPr="00D63D96">
                              <w:rPr>
                                <w:color w:val="FF0000"/>
                                <w:sz w:val="14"/>
                                <w:szCs w:val="14"/>
                              </w:rPr>
                              <w:t>.</w:t>
                            </w:r>
                            <w:r>
                              <w:rPr>
                                <w:b/>
                                <w:color w:val="FF0000"/>
                                <w:sz w:val="14"/>
                                <w:szCs w:val="14"/>
                              </w:rPr>
                              <w:t> This preliminary pricing supplement and the accompanying prospectus</w:t>
                            </w:r>
                            <w:r w:rsidRPr="00D63D96">
                              <w:rPr>
                                <w:color w:val="FF0000"/>
                                <w:sz w:val="14"/>
                                <w:szCs w:val="14"/>
                              </w:rPr>
                              <w:t>,</w:t>
                            </w:r>
                            <w:r>
                              <w:rPr>
                                <w:b/>
                                <w:color w:val="FF0000"/>
                                <w:sz w:val="14"/>
                                <w:szCs w:val="14"/>
                              </w:rPr>
                              <w:t xml:space="preserve"> prospectus supplement and underlying supplement do not constitute an offer to sell the Notes</w:t>
                            </w:r>
                            <w:r w:rsidRPr="00D63D96">
                              <w:rPr>
                                <w:color w:val="FF0000"/>
                                <w:sz w:val="14"/>
                                <w:szCs w:val="14"/>
                              </w:rPr>
                              <w:t>,</w:t>
                            </w:r>
                            <w:r>
                              <w:rPr>
                                <w:rFonts w:ascii="Arial" w:hAnsi="Arial" w:cs="Arial"/>
                                <w:b/>
                                <w:color w:val="0000FF"/>
                                <w:sz w:val="14"/>
                                <w:szCs w:val="14"/>
                              </w:rPr>
                              <w:t> </w:t>
                            </w:r>
                            <w:r>
                              <w:rPr>
                                <w:b/>
                                <w:color w:val="FF0000"/>
                                <w:sz w:val="14"/>
                                <w:szCs w:val="14"/>
                              </w:rPr>
                              <w:t>and we are not soliciting an offer to buy the Notes in any state where the offer or sale is not permitted</w:t>
                            </w:r>
                            <w:r w:rsidRPr="00D63D96">
                              <w:rPr>
                                <w:color w:val="FF0000"/>
                                <w:sz w:val="14"/>
                                <w:szCs w:val="14"/>
                              </w:rPr>
                              <w:t>.</w:t>
                            </w:r>
                          </w:p>
                          <w:p w:rsidR="007C5E04" w:rsidRDefault="007C5E04">
                            <w:pPr>
                              <w:rPr>
                                <w:rFonts w:ascii="Arial" w:hAnsi="Arial" w:cs="Arial"/>
                                <w:b/>
                                <w:color w:val="FF0000"/>
                                <w:sz w:val="16"/>
                                <w:szCs w:val="16"/>
                              </w:rPr>
                            </w:pPr>
                          </w:p>
                        </w:txbxContent>
                      </v:textbox>
                    </v:shape>
                  </w:pict>
                </mc:Fallback>
              </mc:AlternateContent>
            </w:r>
            <w:r w:rsidR="000A7489">
              <w:rPr>
                <w:noProof/>
                <w:lang w:val="en-US" w:eastAsia="en-US"/>
              </w:rPr>
              <w:drawing>
                <wp:inline distT="0" distB="0" distL="0" distR="0">
                  <wp:extent cx="1360805" cy="321945"/>
                  <wp:effectExtent l="19050" t="0" r="0" b="0"/>
                  <wp:docPr id="1" name="Picture 1" descr="barclays PL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clays PLC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0805" cy="321945"/>
                          </a:xfrm>
                          <a:prstGeom prst="rect">
                            <a:avLst/>
                          </a:prstGeom>
                          <a:noFill/>
                          <a:ln>
                            <a:noFill/>
                          </a:ln>
                        </pic:spPr>
                      </pic:pic>
                    </a:graphicData>
                  </a:graphic>
                </wp:inline>
              </w:drawing>
            </w:r>
          </w:p>
        </w:tc>
        <w:tc>
          <w:tcPr>
            <w:tcW w:w="8310" w:type="dxa"/>
            <w:gridSpan w:val="2"/>
          </w:tcPr>
          <w:p w:rsidR="008678CA" w:rsidRPr="00E6789B" w:rsidRDefault="000A7489" w:rsidP="00F24EA4">
            <w:pPr>
              <w:pStyle w:val="Title1"/>
              <w:spacing w:before="40" w:after="0"/>
              <w:rPr>
                <w:sz w:val="18"/>
                <w:szCs w:val="18"/>
              </w:rPr>
            </w:pPr>
            <w:r w:rsidRPr="00E6789B">
              <w:rPr>
                <w:sz w:val="18"/>
                <w:szCs w:val="18"/>
              </w:rPr>
              <w:t>$</w:t>
            </w:r>
            <w:bookmarkStart w:id="1" w:name="OLE_LINK1"/>
            <w:r w:rsidRPr="00E6789B">
              <w:rPr>
                <w:sz w:val="18"/>
                <w:szCs w:val="18"/>
              </w:rPr>
              <w:t>[</w:t>
            </w:r>
            <w:r w:rsidR="00FA4491" w:rsidRPr="00E6789B">
              <w:rPr>
                <w:rFonts w:ascii="Times New Roman" w:hAnsi="Times New Roman"/>
                <w:color w:val="000000"/>
                <w:sz w:val="18"/>
                <w:szCs w:val="18"/>
              </w:rPr>
              <w:t>●</w:t>
            </w:r>
            <w:r w:rsidRPr="00E6789B">
              <w:rPr>
                <w:sz w:val="18"/>
                <w:szCs w:val="18"/>
              </w:rPr>
              <w:t>]</w:t>
            </w:r>
            <w:bookmarkEnd w:id="1"/>
          </w:p>
          <w:p w:rsidR="008678CA" w:rsidRPr="00E6789B" w:rsidRDefault="0022262B">
            <w:pPr>
              <w:pStyle w:val="Title2"/>
              <w:spacing w:after="0"/>
              <w:rPr>
                <w:sz w:val="18"/>
                <w:szCs w:val="18"/>
                <w:lang w:val="en-US"/>
              </w:rPr>
            </w:pPr>
            <w:r>
              <w:rPr>
                <w:sz w:val="18"/>
                <w:szCs w:val="18"/>
              </w:rPr>
              <w:t xml:space="preserve">Barrier </w:t>
            </w:r>
            <w:r w:rsidR="00D2149C">
              <w:rPr>
                <w:sz w:val="18"/>
                <w:szCs w:val="18"/>
              </w:rPr>
              <w:t>SuperTrack</w:t>
            </w:r>
            <w:r w:rsidR="008A7BA4" w:rsidRPr="00D63D96">
              <w:rPr>
                <w:b w:val="0"/>
                <w:sz w:val="18"/>
                <w:szCs w:val="18"/>
                <w:vertAlign w:val="superscript"/>
              </w:rPr>
              <w:t>SM</w:t>
            </w:r>
            <w:r w:rsidR="00BB0553">
              <w:rPr>
                <w:sz w:val="18"/>
                <w:szCs w:val="18"/>
              </w:rPr>
              <w:t xml:space="preserve"> </w:t>
            </w:r>
            <w:r w:rsidR="000A7489" w:rsidRPr="00E6789B">
              <w:rPr>
                <w:sz w:val="18"/>
                <w:szCs w:val="18"/>
              </w:rPr>
              <w:t>Notes due</w:t>
            </w:r>
            <w:r w:rsidR="005142D3">
              <w:rPr>
                <w:sz w:val="18"/>
                <w:szCs w:val="18"/>
              </w:rPr>
              <w:t xml:space="preserve"> </w:t>
            </w:r>
            <w:r w:rsidR="007C5E04">
              <w:rPr>
                <w:sz w:val="18"/>
                <w:szCs w:val="18"/>
              </w:rPr>
              <w:t>February 5</w:t>
            </w:r>
            <w:r w:rsidR="00CC2AF3">
              <w:rPr>
                <w:sz w:val="18"/>
                <w:szCs w:val="18"/>
              </w:rPr>
              <w:t xml:space="preserve">, </w:t>
            </w:r>
            <w:r w:rsidR="007C5E04">
              <w:rPr>
                <w:sz w:val="18"/>
                <w:szCs w:val="18"/>
              </w:rPr>
              <w:t>2025</w:t>
            </w:r>
          </w:p>
          <w:p w:rsidR="00B9325C" w:rsidRDefault="000A7489" w:rsidP="00ED5D46">
            <w:pPr>
              <w:pStyle w:val="Title2"/>
              <w:spacing w:after="0"/>
              <w:rPr>
                <w:sz w:val="18"/>
                <w:szCs w:val="18"/>
              </w:rPr>
            </w:pPr>
            <w:r w:rsidRPr="00E6789B">
              <w:rPr>
                <w:sz w:val="18"/>
                <w:szCs w:val="18"/>
              </w:rPr>
              <w:t xml:space="preserve">Linked to the </w:t>
            </w:r>
            <w:r w:rsidR="00D11B45">
              <w:rPr>
                <w:sz w:val="18"/>
                <w:szCs w:val="18"/>
              </w:rPr>
              <w:t>Least Performing</w:t>
            </w:r>
            <w:r w:rsidR="00415C16">
              <w:rPr>
                <w:sz w:val="18"/>
                <w:szCs w:val="18"/>
              </w:rPr>
              <w:t xml:space="preserve"> </w:t>
            </w:r>
            <w:r w:rsidRPr="00E6789B">
              <w:rPr>
                <w:sz w:val="18"/>
                <w:szCs w:val="18"/>
              </w:rPr>
              <w:t>of</w:t>
            </w:r>
            <w:r w:rsidR="00B9325C">
              <w:rPr>
                <w:sz w:val="18"/>
                <w:szCs w:val="18"/>
              </w:rPr>
              <w:t xml:space="preserve"> </w:t>
            </w:r>
            <w:r w:rsidR="00443576">
              <w:rPr>
                <w:sz w:val="18"/>
                <w:szCs w:val="18"/>
              </w:rPr>
              <w:t>the iShares</w:t>
            </w:r>
            <w:r w:rsidR="00443576" w:rsidRPr="00C3526D">
              <w:rPr>
                <w:b w:val="0"/>
                <w:sz w:val="18"/>
                <w:szCs w:val="18"/>
                <w:vertAlign w:val="superscript"/>
              </w:rPr>
              <w:t>®</w:t>
            </w:r>
            <w:r w:rsidR="00443576">
              <w:rPr>
                <w:sz w:val="18"/>
                <w:szCs w:val="18"/>
              </w:rPr>
              <w:t xml:space="preserve"> MSCI Emerging Markets ETF </w:t>
            </w:r>
          </w:p>
          <w:p w:rsidR="008678CA" w:rsidRPr="00E6789B" w:rsidRDefault="00443576" w:rsidP="00ED5D46">
            <w:pPr>
              <w:pStyle w:val="Title2"/>
              <w:spacing w:after="0"/>
              <w:rPr>
                <w:sz w:val="18"/>
                <w:szCs w:val="18"/>
                <w:lang w:val="en-US"/>
              </w:rPr>
            </w:pPr>
            <w:r>
              <w:rPr>
                <w:sz w:val="18"/>
                <w:szCs w:val="18"/>
              </w:rPr>
              <w:t>and the iShares</w:t>
            </w:r>
            <w:r w:rsidRPr="00C3526D">
              <w:rPr>
                <w:b w:val="0"/>
                <w:sz w:val="18"/>
                <w:szCs w:val="18"/>
                <w:vertAlign w:val="superscript"/>
              </w:rPr>
              <w:t>®</w:t>
            </w:r>
            <w:r>
              <w:rPr>
                <w:sz w:val="18"/>
                <w:szCs w:val="18"/>
              </w:rPr>
              <w:t xml:space="preserve"> MSCI EAFE ETF</w:t>
            </w:r>
          </w:p>
          <w:p w:rsidR="008678CA" w:rsidRDefault="000A7489">
            <w:pPr>
              <w:pStyle w:val="Title2"/>
              <w:spacing w:after="0"/>
              <w:rPr>
                <w:sz w:val="16"/>
                <w:szCs w:val="16"/>
              </w:rPr>
            </w:pPr>
            <w:r>
              <w:rPr>
                <w:sz w:val="16"/>
                <w:szCs w:val="16"/>
                <w:lang w:val="pt-BR"/>
              </w:rPr>
              <w:t>Global Medium</w:t>
            </w:r>
            <w:r w:rsidRPr="00D63D96">
              <w:rPr>
                <w:b w:val="0"/>
                <w:sz w:val="16"/>
                <w:szCs w:val="16"/>
                <w:lang w:val="pt-BR"/>
              </w:rPr>
              <w:t>-</w:t>
            </w:r>
            <w:r>
              <w:rPr>
                <w:sz w:val="16"/>
                <w:szCs w:val="16"/>
                <w:lang w:val="pt-BR"/>
              </w:rPr>
              <w:t>Term Notes</w:t>
            </w:r>
            <w:r w:rsidRPr="00D63D96">
              <w:rPr>
                <w:b w:val="0"/>
                <w:sz w:val="16"/>
                <w:szCs w:val="16"/>
                <w:lang w:val="pt-BR"/>
              </w:rPr>
              <w:t>,</w:t>
            </w:r>
            <w:r>
              <w:rPr>
                <w:sz w:val="16"/>
                <w:szCs w:val="16"/>
                <w:lang w:val="pt-BR"/>
              </w:rPr>
              <w:t xml:space="preserve"> Series A</w:t>
            </w:r>
          </w:p>
        </w:tc>
      </w:tr>
    </w:tbl>
    <w:p w:rsidR="008678CA" w:rsidRDefault="000A7489" w:rsidP="0010195C">
      <w:pPr>
        <w:pStyle w:val="HeadingB"/>
        <w:spacing w:before="80" w:after="80" w:line="216" w:lineRule="auto"/>
        <w:rPr>
          <w:b w:val="0"/>
          <w:i/>
          <w:sz w:val="16"/>
          <w:szCs w:val="16"/>
        </w:rPr>
      </w:pPr>
      <w:r>
        <w:rPr>
          <w:b w:val="0"/>
          <w:i/>
          <w:sz w:val="16"/>
          <w:szCs w:val="16"/>
        </w:rPr>
        <w:t xml:space="preserve">Terms used in </w:t>
      </w:r>
      <w:r w:rsidR="002E3E40">
        <w:rPr>
          <w:b w:val="0"/>
          <w:i/>
          <w:sz w:val="16"/>
          <w:szCs w:val="16"/>
        </w:rPr>
        <w:t>this pricing supplement</w:t>
      </w:r>
      <w:r w:rsidRPr="00D63D96">
        <w:rPr>
          <w:b w:val="0"/>
          <w:sz w:val="16"/>
          <w:szCs w:val="16"/>
        </w:rPr>
        <w:t>,</w:t>
      </w:r>
      <w:r>
        <w:rPr>
          <w:b w:val="0"/>
          <w:i/>
          <w:sz w:val="16"/>
          <w:szCs w:val="16"/>
        </w:rPr>
        <w:t xml:space="preserve"> but not defined herein</w:t>
      </w:r>
      <w:r w:rsidRPr="00D63D96">
        <w:rPr>
          <w:b w:val="0"/>
          <w:sz w:val="16"/>
          <w:szCs w:val="16"/>
        </w:rPr>
        <w:t>,</w:t>
      </w:r>
      <w:r>
        <w:rPr>
          <w:b w:val="0"/>
          <w:i/>
          <w:sz w:val="16"/>
          <w:szCs w:val="16"/>
        </w:rPr>
        <w:t xml:space="preserve"> shall have the meanings ascribed to them in the prospectus supplement</w:t>
      </w:r>
      <w:r w:rsidRPr="00D63D96">
        <w:rPr>
          <w:b w:val="0"/>
          <w:sz w:val="16"/>
          <w:szCs w:val="16"/>
        </w:rPr>
        <w:t>.</w:t>
      </w:r>
    </w:p>
    <w:tbl>
      <w:tblPr>
        <w:tblW w:w="0" w:type="auto"/>
        <w:tblLook w:val="01E0" w:firstRow="1" w:lastRow="1" w:firstColumn="1" w:lastColumn="1" w:noHBand="0" w:noVBand="0"/>
      </w:tblPr>
      <w:tblGrid>
        <w:gridCol w:w="2070"/>
        <w:gridCol w:w="8687"/>
      </w:tblGrid>
      <w:tr w:rsidR="008678CA" w:rsidTr="00253D30">
        <w:tc>
          <w:tcPr>
            <w:tcW w:w="2070" w:type="dxa"/>
          </w:tcPr>
          <w:p w:rsidR="008678CA" w:rsidRDefault="000A7489" w:rsidP="00426DAE">
            <w:pPr>
              <w:pStyle w:val="BodyText1"/>
              <w:spacing w:after="40"/>
              <w:rPr>
                <w:sz w:val="16"/>
                <w:szCs w:val="16"/>
              </w:rPr>
            </w:pPr>
            <w:r>
              <w:rPr>
                <w:sz w:val="16"/>
                <w:szCs w:val="16"/>
              </w:rPr>
              <w:t>Issuer:</w:t>
            </w:r>
          </w:p>
        </w:tc>
        <w:tc>
          <w:tcPr>
            <w:tcW w:w="8687" w:type="dxa"/>
          </w:tcPr>
          <w:p w:rsidR="008678CA" w:rsidRDefault="000A7489" w:rsidP="00426DAE">
            <w:pPr>
              <w:pStyle w:val="BodyText1"/>
              <w:spacing w:after="40"/>
              <w:rPr>
                <w:sz w:val="16"/>
                <w:szCs w:val="16"/>
              </w:rPr>
            </w:pPr>
            <w:r>
              <w:rPr>
                <w:sz w:val="16"/>
                <w:szCs w:val="16"/>
              </w:rPr>
              <w:t xml:space="preserve">Barclays Bank PLC </w:t>
            </w:r>
          </w:p>
        </w:tc>
      </w:tr>
      <w:tr w:rsidR="004E7E38" w:rsidTr="00253D30">
        <w:tc>
          <w:tcPr>
            <w:tcW w:w="2070" w:type="dxa"/>
          </w:tcPr>
          <w:p w:rsidR="004E7E38" w:rsidRDefault="004E7E38" w:rsidP="00426DAE">
            <w:pPr>
              <w:pStyle w:val="BodyText1"/>
              <w:spacing w:after="40"/>
              <w:rPr>
                <w:sz w:val="16"/>
                <w:szCs w:val="16"/>
              </w:rPr>
            </w:pPr>
            <w:r>
              <w:rPr>
                <w:sz w:val="16"/>
                <w:szCs w:val="16"/>
              </w:rPr>
              <w:t>Denominations:</w:t>
            </w:r>
          </w:p>
        </w:tc>
        <w:tc>
          <w:tcPr>
            <w:tcW w:w="8687" w:type="dxa"/>
          </w:tcPr>
          <w:p w:rsidR="004E7E38" w:rsidDel="000D4AD4" w:rsidRDefault="004E7E38" w:rsidP="00426DAE">
            <w:pPr>
              <w:pStyle w:val="BodyText1"/>
              <w:spacing w:after="40"/>
              <w:rPr>
                <w:sz w:val="16"/>
                <w:szCs w:val="16"/>
              </w:rPr>
            </w:pPr>
            <w:r>
              <w:rPr>
                <w:sz w:val="16"/>
                <w:szCs w:val="16"/>
              </w:rPr>
              <w:t>Minimum denomination of $1,000, and integral multiples of $1,000 in excess thereof</w:t>
            </w:r>
          </w:p>
        </w:tc>
      </w:tr>
      <w:tr w:rsidR="008678CA" w:rsidTr="00253D30">
        <w:tc>
          <w:tcPr>
            <w:tcW w:w="2070" w:type="dxa"/>
          </w:tcPr>
          <w:p w:rsidR="008678CA" w:rsidRDefault="000A7489" w:rsidP="00426DAE">
            <w:pPr>
              <w:pStyle w:val="BodyText1"/>
              <w:spacing w:after="40"/>
              <w:rPr>
                <w:sz w:val="16"/>
                <w:szCs w:val="16"/>
              </w:rPr>
            </w:pPr>
            <w:r>
              <w:rPr>
                <w:sz w:val="16"/>
                <w:szCs w:val="16"/>
              </w:rPr>
              <w:t>Initial Valuation Date:</w:t>
            </w:r>
          </w:p>
        </w:tc>
        <w:tc>
          <w:tcPr>
            <w:tcW w:w="8687" w:type="dxa"/>
          </w:tcPr>
          <w:p w:rsidR="00946932" w:rsidRDefault="00AE6381" w:rsidP="00AE6381">
            <w:pPr>
              <w:pStyle w:val="BodyText1"/>
              <w:spacing w:after="40"/>
              <w:rPr>
                <w:sz w:val="16"/>
                <w:szCs w:val="16"/>
              </w:rPr>
            </w:pPr>
            <w:r>
              <w:rPr>
                <w:sz w:val="16"/>
                <w:szCs w:val="16"/>
              </w:rPr>
              <w:t>January 31</w:t>
            </w:r>
            <w:r w:rsidR="008A5210">
              <w:rPr>
                <w:sz w:val="16"/>
                <w:szCs w:val="16"/>
              </w:rPr>
              <w:t xml:space="preserve">, </w:t>
            </w:r>
            <w:r>
              <w:rPr>
                <w:sz w:val="16"/>
                <w:szCs w:val="16"/>
              </w:rPr>
              <w:t>2020</w:t>
            </w:r>
          </w:p>
        </w:tc>
      </w:tr>
      <w:tr w:rsidR="00535F8E" w:rsidTr="00253D30">
        <w:tc>
          <w:tcPr>
            <w:tcW w:w="2070" w:type="dxa"/>
          </w:tcPr>
          <w:p w:rsidR="00535F8E" w:rsidRDefault="00535F8E" w:rsidP="00426DAE">
            <w:pPr>
              <w:pStyle w:val="BodyText1"/>
              <w:spacing w:after="40"/>
              <w:rPr>
                <w:sz w:val="16"/>
                <w:szCs w:val="16"/>
              </w:rPr>
            </w:pPr>
            <w:r>
              <w:rPr>
                <w:sz w:val="16"/>
                <w:szCs w:val="16"/>
              </w:rPr>
              <w:t>Issue Date:</w:t>
            </w:r>
          </w:p>
        </w:tc>
        <w:tc>
          <w:tcPr>
            <w:tcW w:w="8687" w:type="dxa"/>
          </w:tcPr>
          <w:p w:rsidR="003B4FB9" w:rsidRDefault="00AE6381">
            <w:pPr>
              <w:pStyle w:val="BodyText1"/>
              <w:spacing w:after="40"/>
              <w:rPr>
                <w:b/>
                <w:sz w:val="16"/>
                <w:szCs w:val="16"/>
              </w:rPr>
            </w:pPr>
            <w:r>
              <w:rPr>
                <w:sz w:val="16"/>
                <w:szCs w:val="16"/>
              </w:rPr>
              <w:t>February 5</w:t>
            </w:r>
            <w:r w:rsidR="00CC2AF3">
              <w:rPr>
                <w:sz w:val="16"/>
                <w:szCs w:val="16"/>
              </w:rPr>
              <w:t>, 2020</w:t>
            </w:r>
          </w:p>
        </w:tc>
      </w:tr>
      <w:tr w:rsidR="00535F8E" w:rsidTr="00253D30">
        <w:tc>
          <w:tcPr>
            <w:tcW w:w="2070" w:type="dxa"/>
          </w:tcPr>
          <w:p w:rsidR="00535F8E" w:rsidRDefault="00535F8E" w:rsidP="00426DAE">
            <w:pPr>
              <w:pStyle w:val="BodyText1"/>
              <w:spacing w:after="40"/>
              <w:rPr>
                <w:sz w:val="16"/>
                <w:szCs w:val="16"/>
              </w:rPr>
            </w:pPr>
            <w:r>
              <w:rPr>
                <w:sz w:val="16"/>
                <w:szCs w:val="16"/>
              </w:rPr>
              <w:t>Final Valuation Date:*</w:t>
            </w:r>
          </w:p>
        </w:tc>
        <w:tc>
          <w:tcPr>
            <w:tcW w:w="8687" w:type="dxa"/>
          </w:tcPr>
          <w:p w:rsidR="00946932" w:rsidRDefault="00AE6381">
            <w:pPr>
              <w:pStyle w:val="BodyText1"/>
              <w:spacing w:after="40"/>
              <w:rPr>
                <w:b/>
                <w:sz w:val="16"/>
                <w:szCs w:val="16"/>
              </w:rPr>
            </w:pPr>
            <w:r>
              <w:rPr>
                <w:sz w:val="16"/>
                <w:szCs w:val="16"/>
              </w:rPr>
              <w:t xml:space="preserve">January </w:t>
            </w:r>
            <w:r w:rsidR="007C5E04">
              <w:rPr>
                <w:sz w:val="16"/>
                <w:szCs w:val="16"/>
              </w:rPr>
              <w:t>31</w:t>
            </w:r>
            <w:r w:rsidR="00CC2AF3">
              <w:rPr>
                <w:sz w:val="16"/>
                <w:szCs w:val="16"/>
              </w:rPr>
              <w:t xml:space="preserve">, </w:t>
            </w:r>
            <w:r w:rsidR="007C5E04">
              <w:rPr>
                <w:sz w:val="16"/>
                <w:szCs w:val="16"/>
              </w:rPr>
              <w:t>2025</w:t>
            </w:r>
          </w:p>
        </w:tc>
      </w:tr>
      <w:tr w:rsidR="00535F8E" w:rsidTr="00253D30">
        <w:trPr>
          <w:trHeight w:val="64"/>
        </w:trPr>
        <w:tc>
          <w:tcPr>
            <w:tcW w:w="2070" w:type="dxa"/>
          </w:tcPr>
          <w:p w:rsidR="00535F8E" w:rsidRDefault="00535F8E" w:rsidP="00426DAE">
            <w:pPr>
              <w:pStyle w:val="BodyText1"/>
              <w:spacing w:after="40"/>
              <w:rPr>
                <w:sz w:val="16"/>
                <w:szCs w:val="16"/>
              </w:rPr>
            </w:pPr>
            <w:r>
              <w:rPr>
                <w:sz w:val="16"/>
                <w:szCs w:val="16"/>
              </w:rPr>
              <w:t>Maturity Date:*</w:t>
            </w:r>
          </w:p>
        </w:tc>
        <w:tc>
          <w:tcPr>
            <w:tcW w:w="8687" w:type="dxa"/>
          </w:tcPr>
          <w:p w:rsidR="001479ED" w:rsidRDefault="007C5E04">
            <w:pPr>
              <w:pStyle w:val="BodyText1"/>
              <w:spacing w:after="40"/>
              <w:rPr>
                <w:b/>
                <w:sz w:val="16"/>
                <w:szCs w:val="16"/>
              </w:rPr>
            </w:pPr>
            <w:r>
              <w:rPr>
                <w:sz w:val="16"/>
                <w:szCs w:val="16"/>
              </w:rPr>
              <w:t>February 5</w:t>
            </w:r>
            <w:r w:rsidR="00CC2AF3">
              <w:rPr>
                <w:sz w:val="16"/>
                <w:szCs w:val="16"/>
              </w:rPr>
              <w:t xml:space="preserve">, </w:t>
            </w:r>
            <w:r>
              <w:rPr>
                <w:sz w:val="16"/>
                <w:szCs w:val="16"/>
              </w:rPr>
              <w:t>2025</w:t>
            </w:r>
          </w:p>
        </w:tc>
      </w:tr>
      <w:tr w:rsidR="00047F64" w:rsidTr="00253D30">
        <w:tc>
          <w:tcPr>
            <w:tcW w:w="2070" w:type="dxa"/>
          </w:tcPr>
          <w:p w:rsidR="00047F64" w:rsidRDefault="00047F64" w:rsidP="00426DAE">
            <w:pPr>
              <w:pStyle w:val="BodyText1"/>
              <w:spacing w:after="40"/>
              <w:rPr>
                <w:sz w:val="16"/>
                <w:szCs w:val="16"/>
              </w:rPr>
            </w:pPr>
            <w:r>
              <w:rPr>
                <w:sz w:val="16"/>
                <w:szCs w:val="16"/>
              </w:rPr>
              <w:t>Reference Asset</w:t>
            </w:r>
            <w:r w:rsidR="00415C16">
              <w:rPr>
                <w:sz w:val="16"/>
                <w:szCs w:val="16"/>
              </w:rPr>
              <w:t>s</w:t>
            </w:r>
            <w:r>
              <w:rPr>
                <w:sz w:val="16"/>
                <w:szCs w:val="16"/>
              </w:rPr>
              <w:t>:</w:t>
            </w:r>
          </w:p>
        </w:tc>
        <w:tc>
          <w:tcPr>
            <w:tcW w:w="8687" w:type="dxa"/>
          </w:tcPr>
          <w:p w:rsidR="00415C16" w:rsidRDefault="00443576" w:rsidP="00415C16">
            <w:pPr>
              <w:pStyle w:val="BodyText1"/>
              <w:spacing w:after="60"/>
              <w:jc w:val="both"/>
              <w:rPr>
                <w:sz w:val="16"/>
                <w:szCs w:val="16"/>
              </w:rPr>
            </w:pPr>
            <w:r>
              <w:rPr>
                <w:sz w:val="16"/>
                <w:szCs w:val="16"/>
              </w:rPr>
              <w:t>The iShares</w:t>
            </w:r>
            <w:r w:rsidRPr="006962E1">
              <w:rPr>
                <w:sz w:val="16"/>
                <w:szCs w:val="16"/>
                <w:vertAlign w:val="superscript"/>
              </w:rPr>
              <w:t>®</w:t>
            </w:r>
            <w:r>
              <w:rPr>
                <w:sz w:val="16"/>
                <w:szCs w:val="16"/>
              </w:rPr>
              <w:t xml:space="preserve"> MSCI Emerging Markets ETF (the “</w:t>
            </w:r>
            <w:r w:rsidR="00E40B31">
              <w:rPr>
                <w:sz w:val="16"/>
                <w:szCs w:val="16"/>
              </w:rPr>
              <w:t>EEM Fund</w:t>
            </w:r>
            <w:r>
              <w:rPr>
                <w:sz w:val="16"/>
                <w:szCs w:val="16"/>
              </w:rPr>
              <w:t>”) and the iShares</w:t>
            </w:r>
            <w:r w:rsidRPr="006962E1">
              <w:rPr>
                <w:sz w:val="16"/>
                <w:szCs w:val="16"/>
                <w:vertAlign w:val="superscript"/>
              </w:rPr>
              <w:t>®</w:t>
            </w:r>
            <w:r>
              <w:rPr>
                <w:sz w:val="16"/>
                <w:szCs w:val="16"/>
              </w:rPr>
              <w:t xml:space="preserve"> MSCI EAFE ETF (the “</w:t>
            </w:r>
            <w:r w:rsidR="00E40B31">
              <w:rPr>
                <w:sz w:val="16"/>
                <w:szCs w:val="16"/>
              </w:rPr>
              <w:t>EFA Fund</w:t>
            </w:r>
            <w:r>
              <w:rPr>
                <w:sz w:val="16"/>
                <w:szCs w:val="16"/>
              </w:rPr>
              <w:t xml:space="preserve">”), as </w:t>
            </w:r>
            <w:r w:rsidR="003B1817">
              <w:rPr>
                <w:sz w:val="16"/>
                <w:szCs w:val="16"/>
              </w:rPr>
              <w:t xml:space="preserve">set forth in </w:t>
            </w:r>
            <w:r>
              <w:rPr>
                <w:sz w:val="16"/>
                <w:szCs w:val="16"/>
              </w:rPr>
              <w:t>the following table:</w:t>
            </w:r>
          </w:p>
          <w:tbl>
            <w:tblPr>
              <w:tblW w:w="6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1545"/>
              <w:gridCol w:w="1393"/>
              <w:gridCol w:w="1393"/>
            </w:tblGrid>
            <w:tr w:rsidR="00C328DE" w:rsidRPr="007839CA" w:rsidTr="006B0B8C">
              <w:trPr>
                <w:jc w:val="center"/>
              </w:trPr>
              <w:tc>
                <w:tcPr>
                  <w:tcW w:w="2131" w:type="dxa"/>
                  <w:shd w:val="clear" w:color="auto" w:fill="D9D9D9"/>
                  <w:vAlign w:val="center"/>
                </w:tcPr>
                <w:p w:rsidR="00C328DE" w:rsidRPr="007839CA" w:rsidRDefault="00C328DE" w:rsidP="00C328DE">
                  <w:pPr>
                    <w:pStyle w:val="BodyText2"/>
                    <w:spacing w:after="0"/>
                    <w:jc w:val="center"/>
                    <w:rPr>
                      <w:b/>
                      <w:sz w:val="16"/>
                      <w:szCs w:val="16"/>
                    </w:rPr>
                  </w:pPr>
                  <w:r w:rsidRPr="007839CA">
                    <w:rPr>
                      <w:b/>
                      <w:sz w:val="16"/>
                      <w:szCs w:val="16"/>
                    </w:rPr>
                    <w:t>Reference Asset</w:t>
                  </w:r>
                </w:p>
              </w:tc>
              <w:tc>
                <w:tcPr>
                  <w:tcW w:w="1545" w:type="dxa"/>
                  <w:shd w:val="clear" w:color="auto" w:fill="D9D9D9"/>
                  <w:vAlign w:val="center"/>
                </w:tcPr>
                <w:p w:rsidR="00C328DE" w:rsidRDefault="00C328DE" w:rsidP="00C328DE">
                  <w:pPr>
                    <w:pStyle w:val="BodyText2"/>
                    <w:spacing w:after="0"/>
                    <w:jc w:val="center"/>
                    <w:rPr>
                      <w:b/>
                      <w:sz w:val="16"/>
                      <w:szCs w:val="16"/>
                    </w:rPr>
                  </w:pPr>
                  <w:r>
                    <w:rPr>
                      <w:b/>
                      <w:sz w:val="16"/>
                      <w:szCs w:val="16"/>
                    </w:rPr>
                    <w:t>Bloomberg Ticker</w:t>
                  </w:r>
                </w:p>
              </w:tc>
              <w:tc>
                <w:tcPr>
                  <w:tcW w:w="1393" w:type="dxa"/>
                  <w:shd w:val="clear" w:color="auto" w:fill="D9D9D9"/>
                  <w:vAlign w:val="center"/>
                </w:tcPr>
                <w:p w:rsidR="00C328DE" w:rsidRDefault="00C328DE" w:rsidP="00C328DE">
                  <w:pPr>
                    <w:pStyle w:val="BodyText2"/>
                    <w:spacing w:after="0"/>
                    <w:jc w:val="center"/>
                    <w:rPr>
                      <w:b/>
                      <w:sz w:val="16"/>
                      <w:szCs w:val="16"/>
                    </w:rPr>
                  </w:pPr>
                  <w:r>
                    <w:rPr>
                      <w:b/>
                      <w:sz w:val="16"/>
                      <w:szCs w:val="16"/>
                    </w:rPr>
                    <w:t>Initial Value</w:t>
                  </w:r>
                </w:p>
              </w:tc>
              <w:tc>
                <w:tcPr>
                  <w:tcW w:w="1393" w:type="dxa"/>
                  <w:shd w:val="clear" w:color="auto" w:fill="D9D9D9"/>
                  <w:vAlign w:val="center"/>
                </w:tcPr>
                <w:p w:rsidR="00C328DE" w:rsidRDefault="0022262B" w:rsidP="00C328DE">
                  <w:pPr>
                    <w:pStyle w:val="BodyText2"/>
                    <w:spacing w:after="0"/>
                    <w:jc w:val="center"/>
                    <w:rPr>
                      <w:b/>
                      <w:sz w:val="16"/>
                      <w:szCs w:val="16"/>
                    </w:rPr>
                  </w:pPr>
                  <w:r>
                    <w:rPr>
                      <w:b/>
                      <w:sz w:val="16"/>
                      <w:szCs w:val="16"/>
                    </w:rPr>
                    <w:t xml:space="preserve">Barrier </w:t>
                  </w:r>
                  <w:r w:rsidR="00C328DE">
                    <w:rPr>
                      <w:b/>
                      <w:sz w:val="16"/>
                      <w:szCs w:val="16"/>
                    </w:rPr>
                    <w:t>Value</w:t>
                  </w:r>
                </w:p>
              </w:tc>
            </w:tr>
            <w:tr w:rsidR="00C328DE" w:rsidRPr="007839CA" w:rsidTr="006B0B8C">
              <w:trPr>
                <w:trHeight w:val="88"/>
                <w:jc w:val="center"/>
              </w:trPr>
              <w:tc>
                <w:tcPr>
                  <w:tcW w:w="2131" w:type="dxa"/>
                  <w:vAlign w:val="center"/>
                </w:tcPr>
                <w:p w:rsidR="00C328DE" w:rsidRPr="007839CA" w:rsidRDefault="00E40B31" w:rsidP="00C328DE">
                  <w:pPr>
                    <w:pStyle w:val="BodyText2"/>
                    <w:spacing w:after="0"/>
                    <w:jc w:val="center"/>
                    <w:rPr>
                      <w:sz w:val="16"/>
                      <w:szCs w:val="16"/>
                    </w:rPr>
                  </w:pPr>
                  <w:r>
                    <w:rPr>
                      <w:sz w:val="16"/>
                      <w:szCs w:val="16"/>
                    </w:rPr>
                    <w:t>EEM Fund</w:t>
                  </w:r>
                </w:p>
              </w:tc>
              <w:tc>
                <w:tcPr>
                  <w:tcW w:w="1545" w:type="dxa"/>
                  <w:vAlign w:val="center"/>
                </w:tcPr>
                <w:p w:rsidR="00C328DE" w:rsidRDefault="00C328DE" w:rsidP="00C328DE">
                  <w:pPr>
                    <w:pStyle w:val="BodyText2"/>
                    <w:spacing w:after="0"/>
                    <w:jc w:val="center"/>
                    <w:rPr>
                      <w:sz w:val="16"/>
                      <w:szCs w:val="16"/>
                    </w:rPr>
                  </w:pPr>
                  <w:r>
                    <w:rPr>
                      <w:sz w:val="16"/>
                      <w:szCs w:val="16"/>
                    </w:rPr>
                    <w:t>EEM UP &lt;Equity&gt;</w:t>
                  </w:r>
                </w:p>
              </w:tc>
              <w:tc>
                <w:tcPr>
                  <w:tcW w:w="1393" w:type="dxa"/>
                  <w:vAlign w:val="center"/>
                </w:tcPr>
                <w:p w:rsidR="00C328DE" w:rsidRPr="007839CA" w:rsidRDefault="0022262B" w:rsidP="00C328DE">
                  <w:pPr>
                    <w:pStyle w:val="BodyText2"/>
                    <w:spacing w:after="0"/>
                    <w:jc w:val="center"/>
                    <w:rPr>
                      <w:sz w:val="16"/>
                      <w:szCs w:val="16"/>
                    </w:rPr>
                  </w:pPr>
                  <w:r>
                    <w:rPr>
                      <w:sz w:val="16"/>
                      <w:szCs w:val="16"/>
                    </w:rPr>
                    <w:t>$</w:t>
                  </w:r>
                  <w:r w:rsidR="00C328DE" w:rsidRPr="007839CA">
                    <w:rPr>
                      <w:sz w:val="16"/>
                      <w:szCs w:val="16"/>
                    </w:rPr>
                    <w:t>[●]</w:t>
                  </w:r>
                </w:p>
              </w:tc>
              <w:tc>
                <w:tcPr>
                  <w:tcW w:w="1393" w:type="dxa"/>
                  <w:vAlign w:val="center"/>
                </w:tcPr>
                <w:p w:rsidR="00C328DE" w:rsidRPr="007839CA" w:rsidRDefault="0022262B" w:rsidP="00C328DE">
                  <w:pPr>
                    <w:pStyle w:val="BodyText2"/>
                    <w:spacing w:after="0"/>
                    <w:jc w:val="center"/>
                    <w:rPr>
                      <w:sz w:val="16"/>
                      <w:szCs w:val="16"/>
                    </w:rPr>
                  </w:pPr>
                  <w:r>
                    <w:rPr>
                      <w:sz w:val="16"/>
                      <w:szCs w:val="16"/>
                    </w:rPr>
                    <w:t>$</w:t>
                  </w:r>
                  <w:r w:rsidR="00C328DE" w:rsidRPr="007839CA">
                    <w:rPr>
                      <w:sz w:val="16"/>
                      <w:szCs w:val="16"/>
                    </w:rPr>
                    <w:t>[●]</w:t>
                  </w:r>
                </w:p>
              </w:tc>
            </w:tr>
            <w:tr w:rsidR="00C328DE" w:rsidRPr="007839CA" w:rsidTr="006B0B8C">
              <w:trPr>
                <w:trHeight w:val="53"/>
                <w:jc w:val="center"/>
              </w:trPr>
              <w:tc>
                <w:tcPr>
                  <w:tcW w:w="2131" w:type="dxa"/>
                  <w:vAlign w:val="center"/>
                </w:tcPr>
                <w:p w:rsidR="00C328DE" w:rsidRPr="007839CA" w:rsidRDefault="00E40B31" w:rsidP="00C328DE">
                  <w:pPr>
                    <w:pStyle w:val="BodyText2"/>
                    <w:spacing w:after="0"/>
                    <w:jc w:val="center"/>
                    <w:rPr>
                      <w:sz w:val="16"/>
                      <w:szCs w:val="16"/>
                    </w:rPr>
                  </w:pPr>
                  <w:r>
                    <w:rPr>
                      <w:sz w:val="16"/>
                      <w:szCs w:val="16"/>
                    </w:rPr>
                    <w:t>EFA Fund</w:t>
                  </w:r>
                </w:p>
              </w:tc>
              <w:tc>
                <w:tcPr>
                  <w:tcW w:w="1545" w:type="dxa"/>
                  <w:vAlign w:val="center"/>
                </w:tcPr>
                <w:p w:rsidR="00C328DE" w:rsidRDefault="00C328DE" w:rsidP="00C328DE">
                  <w:pPr>
                    <w:pStyle w:val="BodyText2"/>
                    <w:spacing w:after="0"/>
                    <w:jc w:val="center"/>
                    <w:rPr>
                      <w:sz w:val="16"/>
                      <w:szCs w:val="16"/>
                    </w:rPr>
                  </w:pPr>
                  <w:r>
                    <w:rPr>
                      <w:sz w:val="16"/>
                      <w:szCs w:val="16"/>
                    </w:rPr>
                    <w:t>EFA UP &lt;Equity&gt;</w:t>
                  </w:r>
                </w:p>
              </w:tc>
              <w:tc>
                <w:tcPr>
                  <w:tcW w:w="1393" w:type="dxa"/>
                  <w:vAlign w:val="center"/>
                </w:tcPr>
                <w:p w:rsidR="00C328DE" w:rsidRPr="007839CA" w:rsidRDefault="0022262B" w:rsidP="00C328DE">
                  <w:pPr>
                    <w:pStyle w:val="BodyText2"/>
                    <w:spacing w:after="0"/>
                    <w:jc w:val="center"/>
                    <w:rPr>
                      <w:sz w:val="16"/>
                      <w:szCs w:val="16"/>
                    </w:rPr>
                  </w:pPr>
                  <w:r>
                    <w:rPr>
                      <w:sz w:val="16"/>
                      <w:szCs w:val="16"/>
                    </w:rPr>
                    <w:t>$</w:t>
                  </w:r>
                  <w:r w:rsidR="00C328DE" w:rsidRPr="007839CA">
                    <w:rPr>
                      <w:sz w:val="16"/>
                      <w:szCs w:val="16"/>
                    </w:rPr>
                    <w:t>[●]</w:t>
                  </w:r>
                </w:p>
              </w:tc>
              <w:tc>
                <w:tcPr>
                  <w:tcW w:w="1393" w:type="dxa"/>
                  <w:vAlign w:val="center"/>
                </w:tcPr>
                <w:p w:rsidR="00C328DE" w:rsidRPr="007839CA" w:rsidRDefault="0022262B" w:rsidP="00C328DE">
                  <w:pPr>
                    <w:pStyle w:val="BodyText2"/>
                    <w:spacing w:after="0"/>
                    <w:jc w:val="center"/>
                    <w:rPr>
                      <w:sz w:val="16"/>
                      <w:szCs w:val="16"/>
                    </w:rPr>
                  </w:pPr>
                  <w:r>
                    <w:rPr>
                      <w:sz w:val="16"/>
                      <w:szCs w:val="16"/>
                    </w:rPr>
                    <w:t>$</w:t>
                  </w:r>
                  <w:r w:rsidR="00C328DE" w:rsidRPr="007839CA">
                    <w:rPr>
                      <w:sz w:val="16"/>
                      <w:szCs w:val="16"/>
                    </w:rPr>
                    <w:t>[●]</w:t>
                  </w:r>
                </w:p>
              </w:tc>
            </w:tr>
          </w:tbl>
          <w:p w:rsidR="00946932" w:rsidRDefault="00443576">
            <w:pPr>
              <w:pStyle w:val="BodyText1"/>
              <w:spacing w:before="40" w:after="40"/>
              <w:rPr>
                <w:b/>
                <w:sz w:val="16"/>
                <w:szCs w:val="16"/>
              </w:rPr>
            </w:pPr>
            <w:r>
              <w:rPr>
                <w:sz w:val="16"/>
                <w:szCs w:val="16"/>
              </w:rPr>
              <w:t xml:space="preserve">The </w:t>
            </w:r>
            <w:r w:rsidR="00E40B31">
              <w:rPr>
                <w:sz w:val="16"/>
                <w:szCs w:val="16"/>
              </w:rPr>
              <w:t>EEM Fund</w:t>
            </w:r>
            <w:r>
              <w:rPr>
                <w:sz w:val="16"/>
                <w:szCs w:val="16"/>
              </w:rPr>
              <w:t xml:space="preserve"> and the </w:t>
            </w:r>
            <w:r w:rsidR="00E40B31">
              <w:rPr>
                <w:sz w:val="16"/>
                <w:szCs w:val="16"/>
              </w:rPr>
              <w:t>EFA Fund</w:t>
            </w:r>
            <w:r>
              <w:rPr>
                <w:sz w:val="16"/>
                <w:szCs w:val="16"/>
              </w:rPr>
              <w:t xml:space="preserve"> are each referred to</w:t>
            </w:r>
            <w:r w:rsidR="003B1817">
              <w:rPr>
                <w:sz w:val="16"/>
                <w:szCs w:val="16"/>
              </w:rPr>
              <w:t xml:space="preserve"> herein</w:t>
            </w:r>
            <w:r>
              <w:rPr>
                <w:sz w:val="16"/>
                <w:szCs w:val="16"/>
              </w:rPr>
              <w:t xml:space="preserve"> as a “Reference Asset” and, collectively, as the “Reference Assets</w:t>
            </w:r>
            <w:r w:rsidR="00F25B03">
              <w:rPr>
                <w:sz w:val="16"/>
                <w:szCs w:val="16"/>
              </w:rPr>
              <w:t>.</w:t>
            </w:r>
            <w:r>
              <w:rPr>
                <w:sz w:val="16"/>
                <w:szCs w:val="16"/>
              </w:rPr>
              <w:t>”</w:t>
            </w:r>
          </w:p>
        </w:tc>
      </w:tr>
      <w:tr w:rsidR="00C8439E" w:rsidTr="00253D30">
        <w:tc>
          <w:tcPr>
            <w:tcW w:w="2070" w:type="dxa"/>
          </w:tcPr>
          <w:p w:rsidR="00C8439E" w:rsidRDefault="00C8439E" w:rsidP="00426DAE">
            <w:pPr>
              <w:pStyle w:val="BodyText1"/>
              <w:spacing w:after="40"/>
              <w:rPr>
                <w:sz w:val="16"/>
                <w:szCs w:val="16"/>
              </w:rPr>
            </w:pPr>
            <w:r>
              <w:rPr>
                <w:sz w:val="16"/>
                <w:szCs w:val="16"/>
              </w:rPr>
              <w:t>Payment at Maturity:</w:t>
            </w:r>
          </w:p>
        </w:tc>
        <w:tc>
          <w:tcPr>
            <w:tcW w:w="8687" w:type="dxa"/>
          </w:tcPr>
          <w:p w:rsidR="00C8439E" w:rsidRDefault="00C8439E" w:rsidP="0010195C">
            <w:pPr>
              <w:pStyle w:val="BodyText1"/>
              <w:tabs>
                <w:tab w:val="left" w:pos="1742"/>
              </w:tabs>
              <w:spacing w:after="80"/>
              <w:jc w:val="both"/>
              <w:rPr>
                <w:sz w:val="16"/>
                <w:szCs w:val="16"/>
              </w:rPr>
            </w:pPr>
            <w:r>
              <w:rPr>
                <w:color w:val="000000"/>
                <w:sz w:val="16"/>
                <w:szCs w:val="16"/>
              </w:rPr>
              <w:t xml:space="preserve">If you hold </w:t>
            </w:r>
            <w:r w:rsidR="00F25B03">
              <w:rPr>
                <w:color w:val="000000"/>
                <w:sz w:val="16"/>
                <w:szCs w:val="16"/>
              </w:rPr>
              <w:t xml:space="preserve">the </w:t>
            </w:r>
            <w:r>
              <w:rPr>
                <w:color w:val="000000"/>
                <w:sz w:val="16"/>
                <w:szCs w:val="16"/>
              </w:rPr>
              <w:t>Notes to maturity, you will receive on the Maturity Date a cash payment per $1,000 principal amount Note that you hold determined as follows</w:t>
            </w:r>
            <w:r>
              <w:rPr>
                <w:sz w:val="16"/>
                <w:szCs w:val="16"/>
              </w:rPr>
              <w:t>:</w:t>
            </w:r>
          </w:p>
          <w:p w:rsidR="00C8439E" w:rsidRDefault="00C8439E" w:rsidP="0010195C">
            <w:pPr>
              <w:pStyle w:val="Bullet"/>
              <w:numPr>
                <w:ilvl w:val="0"/>
                <w:numId w:val="20"/>
              </w:numPr>
              <w:spacing w:after="80"/>
              <w:ind w:left="720"/>
              <w:contextualSpacing w:val="0"/>
              <w:jc w:val="both"/>
              <w:rPr>
                <w:color w:val="000000"/>
                <w:sz w:val="16"/>
                <w:szCs w:val="16"/>
              </w:rPr>
            </w:pPr>
            <w:r w:rsidRPr="00457886">
              <w:rPr>
                <w:sz w:val="16"/>
                <w:szCs w:val="16"/>
              </w:rPr>
              <w:t xml:space="preserve">If the </w:t>
            </w:r>
            <w:r w:rsidR="00C328DE">
              <w:rPr>
                <w:sz w:val="16"/>
                <w:szCs w:val="16"/>
              </w:rPr>
              <w:t>Final Value</w:t>
            </w:r>
            <w:r>
              <w:rPr>
                <w:sz w:val="16"/>
                <w:szCs w:val="16"/>
              </w:rPr>
              <w:t xml:space="preserve"> of the Least Performing </w:t>
            </w:r>
            <w:r w:rsidR="000A2F32">
              <w:rPr>
                <w:sz w:val="16"/>
                <w:szCs w:val="16"/>
              </w:rPr>
              <w:t xml:space="preserve">Reference Asset </w:t>
            </w:r>
            <w:r>
              <w:rPr>
                <w:sz w:val="16"/>
                <w:szCs w:val="16"/>
              </w:rPr>
              <w:t xml:space="preserve">is </w:t>
            </w:r>
            <w:r w:rsidR="00724520">
              <w:rPr>
                <w:i/>
                <w:sz w:val="16"/>
                <w:szCs w:val="16"/>
              </w:rPr>
              <w:t>greater than</w:t>
            </w:r>
            <w:r w:rsidR="00C328DE">
              <w:rPr>
                <w:i/>
                <w:sz w:val="16"/>
                <w:szCs w:val="16"/>
              </w:rPr>
              <w:t xml:space="preserve"> or equal to </w:t>
            </w:r>
            <w:r w:rsidR="00C328DE">
              <w:rPr>
                <w:sz w:val="16"/>
                <w:szCs w:val="16"/>
              </w:rPr>
              <w:t>its Initial Value</w:t>
            </w:r>
            <w:r w:rsidRPr="00457886">
              <w:rPr>
                <w:color w:val="000000"/>
                <w:sz w:val="16"/>
                <w:szCs w:val="16"/>
              </w:rPr>
              <w:t xml:space="preserve">, you will receive </w:t>
            </w:r>
            <w:r w:rsidR="003B1817">
              <w:rPr>
                <w:color w:val="000000"/>
                <w:sz w:val="16"/>
                <w:szCs w:val="16"/>
              </w:rPr>
              <w:t>an amount</w:t>
            </w:r>
            <w:r>
              <w:rPr>
                <w:color w:val="000000"/>
                <w:sz w:val="16"/>
                <w:szCs w:val="16"/>
              </w:rPr>
              <w:t xml:space="preserve"> </w:t>
            </w:r>
            <w:r w:rsidRPr="00457886">
              <w:rPr>
                <w:color w:val="000000"/>
                <w:sz w:val="16"/>
                <w:szCs w:val="16"/>
              </w:rPr>
              <w:t xml:space="preserve">per $1,000 principal amount Note </w:t>
            </w:r>
            <w:r>
              <w:rPr>
                <w:sz w:val="16"/>
                <w:szCs w:val="16"/>
              </w:rPr>
              <w:t>calculated as follows</w:t>
            </w:r>
            <w:r w:rsidRPr="00457886">
              <w:rPr>
                <w:color w:val="000000"/>
                <w:sz w:val="16"/>
                <w:szCs w:val="16"/>
              </w:rPr>
              <w:t>:</w:t>
            </w:r>
          </w:p>
          <w:p w:rsidR="00C8439E" w:rsidRDefault="00C8439E" w:rsidP="0010195C">
            <w:pPr>
              <w:pStyle w:val="BodyText2"/>
              <w:spacing w:after="80"/>
              <w:jc w:val="center"/>
              <w:rPr>
                <w:color w:val="000000"/>
                <w:sz w:val="16"/>
                <w:szCs w:val="16"/>
              </w:rPr>
            </w:pPr>
            <w:r w:rsidRPr="00457886">
              <w:rPr>
                <w:color w:val="000000"/>
                <w:sz w:val="16"/>
                <w:szCs w:val="16"/>
              </w:rPr>
              <w:t xml:space="preserve">$1,000 + [$1,000 </w:t>
            </w:r>
            <w:r w:rsidR="00C57037">
              <w:rPr>
                <w:color w:val="000000"/>
                <w:sz w:val="16"/>
                <w:szCs w:val="16"/>
              </w:rPr>
              <w:t>×</w:t>
            </w:r>
            <w:r>
              <w:rPr>
                <w:sz w:val="16"/>
                <w:szCs w:val="16"/>
              </w:rPr>
              <w:t xml:space="preserve"> </w:t>
            </w:r>
            <w:r w:rsidR="000A2F32">
              <w:rPr>
                <w:sz w:val="16"/>
                <w:szCs w:val="16"/>
              </w:rPr>
              <w:t xml:space="preserve">Reference Asset </w:t>
            </w:r>
            <w:r>
              <w:rPr>
                <w:sz w:val="16"/>
                <w:szCs w:val="16"/>
              </w:rPr>
              <w:t xml:space="preserve">Return of </w:t>
            </w:r>
            <w:r w:rsidR="00D352D0">
              <w:rPr>
                <w:sz w:val="16"/>
                <w:szCs w:val="16"/>
              </w:rPr>
              <w:t xml:space="preserve">the </w:t>
            </w:r>
            <w:r>
              <w:rPr>
                <w:sz w:val="16"/>
                <w:szCs w:val="16"/>
              </w:rPr>
              <w:t xml:space="preserve">Least Performing </w:t>
            </w:r>
            <w:r w:rsidR="000A2F32">
              <w:rPr>
                <w:sz w:val="16"/>
                <w:szCs w:val="16"/>
              </w:rPr>
              <w:t>Reference Asset</w:t>
            </w:r>
            <w:r w:rsidR="00C57037">
              <w:rPr>
                <w:sz w:val="16"/>
                <w:szCs w:val="16"/>
              </w:rPr>
              <w:t xml:space="preserve"> × </w:t>
            </w:r>
            <w:r>
              <w:rPr>
                <w:color w:val="000000"/>
                <w:sz w:val="16"/>
                <w:szCs w:val="16"/>
              </w:rPr>
              <w:t>Upside Leverage Factor</w:t>
            </w:r>
            <w:r w:rsidRPr="00457886">
              <w:rPr>
                <w:color w:val="000000"/>
                <w:sz w:val="16"/>
                <w:szCs w:val="16"/>
              </w:rPr>
              <w:t>]</w:t>
            </w:r>
          </w:p>
          <w:p w:rsidR="00C8439E" w:rsidRPr="00D2149C" w:rsidRDefault="00C8439E" w:rsidP="0010195C">
            <w:pPr>
              <w:pStyle w:val="BodyText1"/>
              <w:numPr>
                <w:ilvl w:val="0"/>
                <w:numId w:val="13"/>
              </w:numPr>
              <w:spacing w:after="80"/>
              <w:ind w:left="714" w:hanging="357"/>
              <w:jc w:val="both"/>
              <w:rPr>
                <w:b/>
                <w:sz w:val="16"/>
                <w:szCs w:val="16"/>
              </w:rPr>
            </w:pPr>
            <w:r>
              <w:rPr>
                <w:sz w:val="16"/>
                <w:szCs w:val="16"/>
              </w:rPr>
              <w:t xml:space="preserve">If the </w:t>
            </w:r>
            <w:r w:rsidR="00C328DE">
              <w:rPr>
                <w:sz w:val="16"/>
                <w:szCs w:val="16"/>
              </w:rPr>
              <w:t>Final Value</w:t>
            </w:r>
            <w:r w:rsidR="00B059FE">
              <w:rPr>
                <w:sz w:val="16"/>
                <w:szCs w:val="16"/>
              </w:rPr>
              <w:t xml:space="preserve"> of the Least Performing </w:t>
            </w:r>
            <w:r w:rsidR="000A2F32">
              <w:rPr>
                <w:sz w:val="16"/>
                <w:szCs w:val="16"/>
              </w:rPr>
              <w:t xml:space="preserve">Reference Asset </w:t>
            </w:r>
            <w:r w:rsidR="00B059FE">
              <w:rPr>
                <w:sz w:val="16"/>
                <w:szCs w:val="16"/>
              </w:rPr>
              <w:t xml:space="preserve">is </w:t>
            </w:r>
            <w:r w:rsidR="00B059FE" w:rsidRPr="00D63D96">
              <w:rPr>
                <w:i/>
                <w:sz w:val="16"/>
                <w:szCs w:val="16"/>
              </w:rPr>
              <w:t>less than</w:t>
            </w:r>
            <w:r w:rsidR="00B059FE">
              <w:rPr>
                <w:sz w:val="16"/>
                <w:szCs w:val="16"/>
              </w:rPr>
              <w:t xml:space="preserve"> </w:t>
            </w:r>
            <w:r w:rsidR="00C328DE">
              <w:rPr>
                <w:sz w:val="16"/>
                <w:szCs w:val="16"/>
              </w:rPr>
              <w:t>its Initial Value,</w:t>
            </w:r>
            <w:r w:rsidR="00B059FE">
              <w:rPr>
                <w:sz w:val="16"/>
                <w:szCs w:val="16"/>
              </w:rPr>
              <w:t xml:space="preserve"> </w:t>
            </w:r>
            <w:r w:rsidR="00D63D96" w:rsidRPr="00D63D96">
              <w:rPr>
                <w:sz w:val="16"/>
                <w:szCs w:val="16"/>
                <w:u w:val="single"/>
              </w:rPr>
              <w:t>but</w:t>
            </w:r>
            <w:r w:rsidR="00B059FE">
              <w:rPr>
                <w:sz w:val="16"/>
                <w:szCs w:val="16"/>
              </w:rPr>
              <w:t xml:space="preserve"> </w:t>
            </w:r>
            <w:r w:rsidR="00724520">
              <w:rPr>
                <w:i/>
                <w:sz w:val="16"/>
                <w:szCs w:val="16"/>
              </w:rPr>
              <w:t>greater than or equal to</w:t>
            </w:r>
            <w:r w:rsidR="00B059FE">
              <w:rPr>
                <w:sz w:val="16"/>
                <w:szCs w:val="16"/>
              </w:rPr>
              <w:t xml:space="preserve"> </w:t>
            </w:r>
            <w:r w:rsidR="00C328DE">
              <w:rPr>
                <w:sz w:val="16"/>
                <w:szCs w:val="16"/>
              </w:rPr>
              <w:t xml:space="preserve">its </w:t>
            </w:r>
            <w:r w:rsidR="0022262B">
              <w:rPr>
                <w:sz w:val="16"/>
                <w:szCs w:val="16"/>
              </w:rPr>
              <w:t xml:space="preserve">Barrier </w:t>
            </w:r>
            <w:r w:rsidR="00C328DE">
              <w:rPr>
                <w:sz w:val="16"/>
                <w:szCs w:val="16"/>
              </w:rPr>
              <w:t>Value</w:t>
            </w:r>
            <w:r>
              <w:rPr>
                <w:sz w:val="16"/>
                <w:szCs w:val="16"/>
              </w:rPr>
              <w:t>, you will receive a payment of $1,000 per $1,000 principal amount Note</w:t>
            </w:r>
          </w:p>
          <w:p w:rsidR="00C8439E" w:rsidRDefault="00C8439E" w:rsidP="0010195C">
            <w:pPr>
              <w:pStyle w:val="BodyText1"/>
              <w:numPr>
                <w:ilvl w:val="0"/>
                <w:numId w:val="13"/>
              </w:numPr>
              <w:spacing w:after="80"/>
              <w:ind w:left="720"/>
              <w:jc w:val="both"/>
              <w:rPr>
                <w:b/>
                <w:sz w:val="16"/>
                <w:szCs w:val="16"/>
              </w:rPr>
            </w:pPr>
            <w:r>
              <w:rPr>
                <w:sz w:val="16"/>
                <w:szCs w:val="16"/>
              </w:rPr>
              <w:t xml:space="preserve">If the </w:t>
            </w:r>
            <w:r w:rsidR="00C328DE">
              <w:rPr>
                <w:sz w:val="16"/>
                <w:szCs w:val="16"/>
              </w:rPr>
              <w:t>Final Value</w:t>
            </w:r>
            <w:r>
              <w:rPr>
                <w:sz w:val="16"/>
                <w:szCs w:val="16"/>
              </w:rPr>
              <w:t xml:space="preserve"> of the Least Performing </w:t>
            </w:r>
            <w:r w:rsidR="000A2F32">
              <w:rPr>
                <w:sz w:val="16"/>
                <w:szCs w:val="16"/>
              </w:rPr>
              <w:t xml:space="preserve">Reference Asset </w:t>
            </w:r>
            <w:r>
              <w:rPr>
                <w:sz w:val="16"/>
                <w:szCs w:val="16"/>
              </w:rPr>
              <w:t xml:space="preserve">is </w:t>
            </w:r>
            <w:r w:rsidRPr="00D63D96">
              <w:rPr>
                <w:i/>
                <w:sz w:val="16"/>
                <w:szCs w:val="16"/>
              </w:rPr>
              <w:t>less than</w:t>
            </w:r>
            <w:r>
              <w:rPr>
                <w:sz w:val="16"/>
                <w:szCs w:val="16"/>
              </w:rPr>
              <w:t xml:space="preserve"> </w:t>
            </w:r>
            <w:r w:rsidR="00C328DE">
              <w:rPr>
                <w:sz w:val="16"/>
                <w:szCs w:val="16"/>
              </w:rPr>
              <w:t xml:space="preserve">its </w:t>
            </w:r>
            <w:r w:rsidR="0022262B">
              <w:rPr>
                <w:sz w:val="16"/>
                <w:szCs w:val="16"/>
              </w:rPr>
              <w:t xml:space="preserve">Barrier </w:t>
            </w:r>
            <w:r w:rsidR="00C328DE">
              <w:rPr>
                <w:sz w:val="16"/>
                <w:szCs w:val="16"/>
              </w:rPr>
              <w:t>Value</w:t>
            </w:r>
            <w:r>
              <w:rPr>
                <w:sz w:val="16"/>
                <w:szCs w:val="16"/>
              </w:rPr>
              <w:t xml:space="preserve">, you will receive </w:t>
            </w:r>
            <w:r w:rsidR="003B1817">
              <w:rPr>
                <w:sz w:val="16"/>
                <w:szCs w:val="16"/>
              </w:rPr>
              <w:t>an amount</w:t>
            </w:r>
            <w:r>
              <w:rPr>
                <w:sz w:val="16"/>
                <w:szCs w:val="16"/>
              </w:rPr>
              <w:t xml:space="preserve"> per $1,000 principal amount Note calculated as follows</w:t>
            </w:r>
            <w:r>
              <w:rPr>
                <w:color w:val="000000"/>
                <w:sz w:val="16"/>
                <w:szCs w:val="16"/>
              </w:rPr>
              <w:t>:</w:t>
            </w:r>
          </w:p>
          <w:p w:rsidR="00C8439E" w:rsidRDefault="00C8439E" w:rsidP="0010195C">
            <w:pPr>
              <w:pStyle w:val="BodyText1"/>
              <w:spacing w:after="80"/>
              <w:jc w:val="center"/>
              <w:rPr>
                <w:b/>
                <w:color w:val="000000"/>
                <w:sz w:val="16"/>
                <w:szCs w:val="16"/>
              </w:rPr>
            </w:pPr>
            <w:r>
              <w:rPr>
                <w:color w:val="000000"/>
                <w:sz w:val="16"/>
                <w:szCs w:val="16"/>
              </w:rPr>
              <w:t>$1,000 + [$1,000</w:t>
            </w:r>
            <w:r w:rsidR="00C57037">
              <w:rPr>
                <w:color w:val="000000"/>
                <w:sz w:val="16"/>
                <w:szCs w:val="16"/>
              </w:rPr>
              <w:t xml:space="preserve"> × </w:t>
            </w:r>
            <w:r w:rsidR="000A2F32">
              <w:rPr>
                <w:sz w:val="16"/>
                <w:szCs w:val="16"/>
              </w:rPr>
              <w:t xml:space="preserve">Reference Asset </w:t>
            </w:r>
            <w:r>
              <w:rPr>
                <w:sz w:val="16"/>
                <w:szCs w:val="16"/>
              </w:rPr>
              <w:t xml:space="preserve">Return </w:t>
            </w:r>
            <w:r w:rsidR="00D352D0">
              <w:rPr>
                <w:sz w:val="16"/>
                <w:szCs w:val="16"/>
              </w:rPr>
              <w:t>of the</w:t>
            </w:r>
            <w:r>
              <w:rPr>
                <w:sz w:val="16"/>
                <w:szCs w:val="16"/>
              </w:rPr>
              <w:t xml:space="preserve"> Least Performing </w:t>
            </w:r>
            <w:r w:rsidR="000A2F32">
              <w:rPr>
                <w:sz w:val="16"/>
                <w:szCs w:val="16"/>
              </w:rPr>
              <w:t>Reference Asset</w:t>
            </w:r>
            <w:r>
              <w:rPr>
                <w:color w:val="000000"/>
                <w:sz w:val="16"/>
                <w:szCs w:val="16"/>
              </w:rPr>
              <w:t>]</w:t>
            </w:r>
          </w:p>
          <w:p w:rsidR="00C8439E" w:rsidRDefault="00C8439E">
            <w:pPr>
              <w:pStyle w:val="BodyText1"/>
              <w:spacing w:after="40"/>
              <w:jc w:val="both"/>
              <w:rPr>
                <w:b/>
                <w:i/>
                <w:sz w:val="16"/>
                <w:szCs w:val="16"/>
              </w:rPr>
            </w:pPr>
            <w:r>
              <w:rPr>
                <w:b/>
                <w:i/>
                <w:color w:val="000000"/>
                <w:sz w:val="16"/>
                <w:szCs w:val="16"/>
              </w:rPr>
              <w:t>If the</w:t>
            </w:r>
            <w:r>
              <w:t xml:space="preserve"> </w:t>
            </w:r>
            <w:r w:rsidR="00C328DE">
              <w:rPr>
                <w:b/>
                <w:i/>
                <w:color w:val="000000"/>
                <w:sz w:val="16"/>
                <w:szCs w:val="16"/>
              </w:rPr>
              <w:t>Final Value</w:t>
            </w:r>
            <w:r w:rsidR="00B059FE">
              <w:rPr>
                <w:b/>
                <w:i/>
                <w:color w:val="000000"/>
                <w:sz w:val="16"/>
                <w:szCs w:val="16"/>
              </w:rPr>
              <w:t xml:space="preserve"> </w:t>
            </w:r>
            <w:r>
              <w:rPr>
                <w:b/>
                <w:i/>
                <w:color w:val="000000"/>
                <w:sz w:val="16"/>
                <w:szCs w:val="16"/>
              </w:rPr>
              <w:t xml:space="preserve">of the </w:t>
            </w:r>
            <w:r w:rsidR="005360DA">
              <w:rPr>
                <w:b/>
                <w:i/>
                <w:color w:val="000000"/>
                <w:sz w:val="16"/>
                <w:szCs w:val="16"/>
              </w:rPr>
              <w:t>Least Performing Reference Asset</w:t>
            </w:r>
            <w:r>
              <w:rPr>
                <w:b/>
                <w:i/>
                <w:color w:val="000000"/>
                <w:sz w:val="16"/>
                <w:szCs w:val="16"/>
              </w:rPr>
              <w:t xml:space="preserve"> is less </w:t>
            </w:r>
            <w:r w:rsidR="00512051">
              <w:rPr>
                <w:b/>
                <w:i/>
                <w:color w:val="000000"/>
                <w:sz w:val="16"/>
                <w:szCs w:val="16"/>
              </w:rPr>
              <w:t xml:space="preserve">than </w:t>
            </w:r>
            <w:r w:rsidR="00C328DE" w:rsidRPr="006B0B8C">
              <w:rPr>
                <w:b/>
                <w:i/>
                <w:color w:val="000000"/>
                <w:sz w:val="16"/>
                <w:szCs w:val="16"/>
              </w:rPr>
              <w:t xml:space="preserve">its </w:t>
            </w:r>
            <w:r w:rsidR="0022262B">
              <w:rPr>
                <w:b/>
                <w:i/>
                <w:color w:val="000000"/>
                <w:sz w:val="16"/>
                <w:szCs w:val="16"/>
              </w:rPr>
              <w:t>Barrier</w:t>
            </w:r>
            <w:r w:rsidR="0022262B" w:rsidRPr="006B0B8C">
              <w:rPr>
                <w:b/>
                <w:i/>
                <w:color w:val="000000"/>
                <w:sz w:val="16"/>
                <w:szCs w:val="16"/>
              </w:rPr>
              <w:t xml:space="preserve"> </w:t>
            </w:r>
            <w:r w:rsidR="00C328DE" w:rsidRPr="006B0B8C">
              <w:rPr>
                <w:b/>
                <w:i/>
                <w:color w:val="000000"/>
                <w:sz w:val="16"/>
                <w:szCs w:val="16"/>
              </w:rPr>
              <w:t>Value</w:t>
            </w:r>
            <w:r w:rsidR="00512051">
              <w:rPr>
                <w:b/>
                <w:i/>
                <w:color w:val="000000"/>
                <w:sz w:val="16"/>
                <w:szCs w:val="16"/>
              </w:rPr>
              <w:t xml:space="preserve">, </w:t>
            </w:r>
            <w:r w:rsidR="00512051" w:rsidRPr="00463611">
              <w:rPr>
                <w:b/>
                <w:i/>
                <w:color w:val="000000"/>
                <w:sz w:val="16"/>
                <w:szCs w:val="16"/>
              </w:rPr>
              <w:t>your Notes will be fully exposed to the decline of the Least Performing Reference Asset from its Initial Value</w:t>
            </w:r>
            <w:r w:rsidR="00B059FE" w:rsidRPr="00463611">
              <w:rPr>
                <w:b/>
                <w:i/>
                <w:color w:val="000000"/>
                <w:sz w:val="16"/>
                <w:szCs w:val="16"/>
              </w:rPr>
              <w:t>.</w:t>
            </w:r>
            <w:r w:rsidR="00B059FE">
              <w:rPr>
                <w:b/>
                <w:i/>
                <w:color w:val="000000"/>
                <w:sz w:val="16"/>
                <w:szCs w:val="16"/>
              </w:rPr>
              <w:t xml:space="preserve"> You may lose up to </w:t>
            </w:r>
            <w:r w:rsidR="00512051">
              <w:rPr>
                <w:b/>
                <w:i/>
                <w:color w:val="000000"/>
                <w:sz w:val="16"/>
                <w:szCs w:val="16"/>
              </w:rPr>
              <w:t>10</w:t>
            </w:r>
            <w:r w:rsidR="00161823">
              <w:rPr>
                <w:b/>
                <w:i/>
                <w:color w:val="000000"/>
                <w:sz w:val="16"/>
                <w:szCs w:val="16"/>
              </w:rPr>
              <w:t>0.00</w:t>
            </w:r>
            <w:r>
              <w:rPr>
                <w:b/>
                <w:i/>
                <w:color w:val="000000"/>
                <w:sz w:val="16"/>
                <w:szCs w:val="16"/>
              </w:rPr>
              <w:t>% of the principal amount of your Notes</w:t>
            </w:r>
            <w:r w:rsidR="003B1817">
              <w:rPr>
                <w:b/>
                <w:i/>
                <w:color w:val="000000"/>
                <w:sz w:val="16"/>
                <w:szCs w:val="16"/>
              </w:rPr>
              <w:t xml:space="preserve"> at maturity</w:t>
            </w:r>
            <w:r w:rsidRPr="00D63D96">
              <w:rPr>
                <w:color w:val="000000"/>
                <w:sz w:val="16"/>
                <w:szCs w:val="16"/>
              </w:rPr>
              <w:t>.</w:t>
            </w:r>
          </w:p>
          <w:p w:rsidR="00C8439E" w:rsidRDefault="00C8439E">
            <w:pPr>
              <w:pStyle w:val="BodyText1"/>
              <w:spacing w:after="40"/>
              <w:jc w:val="both"/>
              <w:rPr>
                <w:b/>
                <w:i/>
                <w:sz w:val="16"/>
                <w:szCs w:val="16"/>
              </w:rPr>
            </w:pPr>
            <w:r>
              <w:rPr>
                <w:rFonts w:eastAsia="Times New Roman"/>
                <w:b/>
                <w:bCs/>
                <w:i/>
                <w:iCs/>
                <w:sz w:val="16"/>
                <w:szCs w:val="16"/>
                <w:lang w:val="en-US" w:eastAsia="en-US"/>
              </w:rPr>
              <w:t xml:space="preserve">Any payment on the Notes is not guaranteed by any third party and is subject to </w:t>
            </w:r>
            <w:r w:rsidR="009A1CD9">
              <w:rPr>
                <w:rFonts w:eastAsia="Times New Roman"/>
                <w:b/>
                <w:bCs/>
                <w:i/>
                <w:iCs/>
                <w:sz w:val="16"/>
                <w:szCs w:val="16"/>
                <w:lang w:val="en-US" w:eastAsia="en-US"/>
              </w:rPr>
              <w:t xml:space="preserve">(a) </w:t>
            </w:r>
            <w:r>
              <w:rPr>
                <w:rFonts w:eastAsia="Times New Roman"/>
                <w:b/>
                <w:bCs/>
                <w:i/>
                <w:iCs/>
                <w:sz w:val="16"/>
                <w:szCs w:val="16"/>
                <w:lang w:val="en-US" w:eastAsia="en-US"/>
              </w:rPr>
              <w:t xml:space="preserve">the creditworthiness of </w:t>
            </w:r>
            <w:r w:rsidR="009A1CD9">
              <w:rPr>
                <w:rFonts w:eastAsia="Times New Roman"/>
                <w:b/>
                <w:bCs/>
                <w:i/>
                <w:iCs/>
                <w:sz w:val="16"/>
                <w:szCs w:val="16"/>
                <w:lang w:val="en-US" w:eastAsia="en-US"/>
              </w:rPr>
              <w:t>Barclays Bank PLC</w:t>
            </w:r>
            <w:r>
              <w:rPr>
                <w:rFonts w:eastAsia="Times New Roman"/>
                <w:b/>
                <w:bCs/>
                <w:i/>
                <w:iCs/>
                <w:sz w:val="16"/>
                <w:szCs w:val="16"/>
                <w:lang w:val="en-US" w:eastAsia="en-US"/>
              </w:rPr>
              <w:t xml:space="preserve"> and </w:t>
            </w:r>
            <w:r w:rsidR="009A1CD9">
              <w:rPr>
                <w:rFonts w:eastAsia="Times New Roman"/>
                <w:b/>
                <w:bCs/>
                <w:i/>
                <w:iCs/>
                <w:sz w:val="16"/>
                <w:szCs w:val="16"/>
                <w:lang w:val="en-US" w:eastAsia="en-US"/>
              </w:rPr>
              <w:t xml:space="preserve">(b) </w:t>
            </w:r>
            <w:r>
              <w:rPr>
                <w:rFonts w:eastAsia="Times New Roman"/>
                <w:b/>
                <w:bCs/>
                <w:i/>
                <w:iCs/>
                <w:sz w:val="16"/>
                <w:szCs w:val="16"/>
                <w:lang w:val="en-US" w:eastAsia="en-US"/>
              </w:rPr>
              <w:t xml:space="preserve">the </w:t>
            </w:r>
            <w:r w:rsidR="009A1CD9">
              <w:rPr>
                <w:rFonts w:eastAsia="Times New Roman"/>
                <w:b/>
                <w:bCs/>
                <w:i/>
                <w:iCs/>
                <w:sz w:val="16"/>
                <w:szCs w:val="16"/>
                <w:lang w:val="en-US" w:eastAsia="en-US"/>
              </w:rPr>
              <w:t xml:space="preserve">risk of </w:t>
            </w:r>
            <w:r>
              <w:rPr>
                <w:rFonts w:eastAsia="Times New Roman"/>
                <w:b/>
                <w:bCs/>
                <w:i/>
                <w:iCs/>
                <w:sz w:val="16"/>
                <w:szCs w:val="16"/>
                <w:lang w:val="en-US" w:eastAsia="en-US"/>
              </w:rPr>
              <w:t>exercise of any U</w:t>
            </w:r>
            <w:r w:rsidRPr="00D63D96">
              <w:rPr>
                <w:rFonts w:eastAsia="Times New Roman"/>
                <w:bCs/>
                <w:iCs/>
                <w:sz w:val="16"/>
                <w:szCs w:val="16"/>
                <w:lang w:val="en-US" w:eastAsia="en-US"/>
              </w:rPr>
              <w:t>.</w:t>
            </w:r>
            <w:r>
              <w:rPr>
                <w:rFonts w:eastAsia="Times New Roman"/>
                <w:b/>
                <w:bCs/>
                <w:i/>
                <w:iCs/>
                <w:sz w:val="16"/>
                <w:szCs w:val="16"/>
                <w:lang w:val="en-US" w:eastAsia="en-US"/>
              </w:rPr>
              <w:t>K</w:t>
            </w:r>
            <w:r w:rsidRPr="00D63D96">
              <w:rPr>
                <w:rFonts w:eastAsia="Times New Roman"/>
                <w:bCs/>
                <w:iCs/>
                <w:sz w:val="16"/>
                <w:szCs w:val="16"/>
                <w:lang w:val="en-US" w:eastAsia="en-US"/>
              </w:rPr>
              <w:t>.</w:t>
            </w:r>
            <w:r>
              <w:rPr>
                <w:rFonts w:eastAsia="Times New Roman"/>
                <w:b/>
                <w:bCs/>
                <w:i/>
                <w:iCs/>
                <w:sz w:val="16"/>
                <w:szCs w:val="16"/>
                <w:lang w:val="en-US" w:eastAsia="en-US"/>
              </w:rPr>
              <w:t xml:space="preserve"> Bail</w:t>
            </w:r>
            <w:r w:rsidRPr="00D63D96">
              <w:rPr>
                <w:rFonts w:eastAsia="Times New Roman"/>
                <w:bCs/>
                <w:iCs/>
                <w:sz w:val="16"/>
                <w:szCs w:val="16"/>
                <w:lang w:val="en-US" w:eastAsia="en-US"/>
              </w:rPr>
              <w:t>-</w:t>
            </w:r>
            <w:r>
              <w:rPr>
                <w:rFonts w:eastAsia="Times New Roman"/>
                <w:b/>
                <w:bCs/>
                <w:i/>
                <w:iCs/>
                <w:sz w:val="16"/>
                <w:szCs w:val="16"/>
                <w:lang w:val="en-US" w:eastAsia="en-US"/>
              </w:rPr>
              <w:t xml:space="preserve">in Power </w:t>
            </w:r>
            <w:r w:rsidR="009A1CD9">
              <w:rPr>
                <w:rFonts w:eastAsia="Times New Roman"/>
                <w:b/>
                <w:bCs/>
                <w:i/>
                <w:iCs/>
                <w:sz w:val="16"/>
                <w:szCs w:val="16"/>
                <w:lang w:val="en-US" w:eastAsia="en-US"/>
              </w:rPr>
              <w:t xml:space="preserve">(as described on page PS-4 of this pricing supplement) </w:t>
            </w:r>
            <w:r>
              <w:rPr>
                <w:rFonts w:eastAsia="Times New Roman"/>
                <w:b/>
                <w:bCs/>
                <w:i/>
                <w:iCs/>
                <w:sz w:val="16"/>
                <w:szCs w:val="16"/>
                <w:lang w:val="en-US" w:eastAsia="en-US"/>
              </w:rPr>
              <w:t>by the relevant U</w:t>
            </w:r>
            <w:r w:rsidRPr="00D63D96">
              <w:rPr>
                <w:rFonts w:eastAsia="Times New Roman"/>
                <w:bCs/>
                <w:iCs/>
                <w:sz w:val="16"/>
                <w:szCs w:val="16"/>
                <w:lang w:val="en-US" w:eastAsia="en-US"/>
              </w:rPr>
              <w:t>.</w:t>
            </w:r>
            <w:r>
              <w:rPr>
                <w:rFonts w:eastAsia="Times New Roman"/>
                <w:b/>
                <w:bCs/>
                <w:i/>
                <w:iCs/>
                <w:sz w:val="16"/>
                <w:szCs w:val="16"/>
                <w:lang w:val="en-US" w:eastAsia="en-US"/>
              </w:rPr>
              <w:t>K</w:t>
            </w:r>
            <w:r w:rsidRPr="00D63D96">
              <w:rPr>
                <w:rFonts w:eastAsia="Times New Roman"/>
                <w:bCs/>
                <w:iCs/>
                <w:sz w:val="16"/>
                <w:szCs w:val="16"/>
                <w:lang w:val="en-US" w:eastAsia="en-US"/>
              </w:rPr>
              <w:t>.</w:t>
            </w:r>
            <w:r>
              <w:rPr>
                <w:rFonts w:eastAsia="Times New Roman"/>
                <w:b/>
                <w:bCs/>
                <w:i/>
                <w:iCs/>
                <w:sz w:val="16"/>
                <w:szCs w:val="16"/>
                <w:lang w:val="en-US" w:eastAsia="en-US"/>
              </w:rPr>
              <w:t xml:space="preserve"> resolution authority</w:t>
            </w:r>
            <w:r w:rsidRPr="00D63D96">
              <w:rPr>
                <w:rFonts w:eastAsia="Times New Roman"/>
                <w:bCs/>
                <w:iCs/>
                <w:sz w:val="16"/>
                <w:szCs w:val="16"/>
                <w:lang w:val="en-US" w:eastAsia="en-US"/>
              </w:rPr>
              <w:t>.</w:t>
            </w:r>
            <w:r>
              <w:rPr>
                <w:b/>
                <w:bCs/>
                <w:i/>
                <w:color w:val="000000"/>
                <w:sz w:val="16"/>
                <w:szCs w:val="16"/>
                <w:lang w:val="en-US"/>
              </w:rPr>
              <w:t xml:space="preserve"> </w:t>
            </w:r>
            <w:r w:rsidRPr="00642F73">
              <w:rPr>
                <w:b/>
                <w:bCs/>
                <w:i/>
                <w:color w:val="000000"/>
                <w:sz w:val="16"/>
                <w:szCs w:val="16"/>
                <w:lang w:val="en-US"/>
              </w:rPr>
              <w:t>If Barclays Bank PLC were to default on its payment obligations or become subject to the exercise of any U</w:t>
            </w:r>
            <w:r w:rsidRPr="00D63D96">
              <w:rPr>
                <w:bCs/>
                <w:color w:val="000000"/>
                <w:sz w:val="16"/>
                <w:szCs w:val="16"/>
                <w:lang w:val="en-US"/>
              </w:rPr>
              <w:t>.</w:t>
            </w:r>
            <w:r w:rsidRPr="00642F73">
              <w:rPr>
                <w:b/>
                <w:bCs/>
                <w:i/>
                <w:color w:val="000000"/>
                <w:sz w:val="16"/>
                <w:szCs w:val="16"/>
                <w:lang w:val="en-US"/>
              </w:rPr>
              <w:t>K</w:t>
            </w:r>
            <w:r w:rsidRPr="00D63D96">
              <w:rPr>
                <w:bCs/>
                <w:color w:val="000000"/>
                <w:sz w:val="16"/>
                <w:szCs w:val="16"/>
                <w:lang w:val="en-US"/>
              </w:rPr>
              <w:t>.</w:t>
            </w:r>
            <w:r w:rsidRPr="00642F73">
              <w:rPr>
                <w:b/>
                <w:bCs/>
                <w:i/>
                <w:color w:val="000000"/>
                <w:sz w:val="16"/>
                <w:szCs w:val="16"/>
                <w:lang w:val="en-US"/>
              </w:rPr>
              <w:t xml:space="preserve"> Bail</w:t>
            </w:r>
            <w:r w:rsidRPr="00D63D96">
              <w:rPr>
                <w:bCs/>
                <w:color w:val="000000"/>
                <w:sz w:val="16"/>
                <w:szCs w:val="16"/>
                <w:lang w:val="en-US"/>
              </w:rPr>
              <w:t>-</w:t>
            </w:r>
            <w:r w:rsidRPr="00642F73">
              <w:rPr>
                <w:b/>
                <w:bCs/>
                <w:i/>
                <w:color w:val="000000"/>
                <w:sz w:val="16"/>
                <w:szCs w:val="16"/>
                <w:lang w:val="en-US"/>
              </w:rPr>
              <w:t xml:space="preserve">in Power </w:t>
            </w:r>
            <w:r w:rsidRPr="00D63D96">
              <w:rPr>
                <w:bCs/>
                <w:color w:val="000000"/>
                <w:sz w:val="16"/>
                <w:szCs w:val="16"/>
                <w:lang w:val="en-US"/>
              </w:rPr>
              <w:t>(</w:t>
            </w:r>
            <w:r>
              <w:rPr>
                <w:b/>
                <w:bCs/>
                <w:i/>
                <w:color w:val="000000"/>
                <w:sz w:val="16"/>
                <w:szCs w:val="16"/>
                <w:lang w:val="en-US"/>
              </w:rPr>
              <w:t>or any other resolution measure</w:t>
            </w:r>
            <w:r w:rsidRPr="00D63D96">
              <w:rPr>
                <w:bCs/>
                <w:color w:val="000000"/>
                <w:sz w:val="16"/>
                <w:szCs w:val="16"/>
                <w:lang w:val="en-US"/>
              </w:rPr>
              <w:t>)</w:t>
            </w:r>
            <w:r>
              <w:rPr>
                <w:b/>
                <w:bCs/>
                <w:i/>
                <w:color w:val="000000"/>
                <w:sz w:val="16"/>
                <w:szCs w:val="16"/>
                <w:lang w:val="en-US"/>
              </w:rPr>
              <w:t xml:space="preserve"> </w:t>
            </w:r>
            <w:r w:rsidRPr="00642F73">
              <w:rPr>
                <w:b/>
                <w:bCs/>
                <w:i/>
                <w:color w:val="000000"/>
                <w:sz w:val="16"/>
                <w:szCs w:val="16"/>
                <w:lang w:val="en-US"/>
              </w:rPr>
              <w:t>by the relevant U</w:t>
            </w:r>
            <w:r w:rsidRPr="00D63D96">
              <w:rPr>
                <w:bCs/>
                <w:color w:val="000000"/>
                <w:sz w:val="16"/>
                <w:szCs w:val="16"/>
                <w:lang w:val="en-US"/>
              </w:rPr>
              <w:t>.</w:t>
            </w:r>
            <w:r w:rsidRPr="00642F73">
              <w:rPr>
                <w:b/>
                <w:bCs/>
                <w:i/>
                <w:color w:val="000000"/>
                <w:sz w:val="16"/>
                <w:szCs w:val="16"/>
                <w:lang w:val="en-US"/>
              </w:rPr>
              <w:t>K</w:t>
            </w:r>
            <w:r w:rsidRPr="00D63D96">
              <w:rPr>
                <w:bCs/>
                <w:color w:val="000000"/>
                <w:sz w:val="16"/>
                <w:szCs w:val="16"/>
                <w:lang w:val="en-US"/>
              </w:rPr>
              <w:t>.</w:t>
            </w:r>
            <w:r w:rsidRPr="00642F73">
              <w:rPr>
                <w:b/>
                <w:bCs/>
                <w:i/>
                <w:color w:val="000000"/>
                <w:sz w:val="16"/>
                <w:szCs w:val="16"/>
                <w:lang w:val="en-US"/>
              </w:rPr>
              <w:t xml:space="preserve"> resolution authority</w:t>
            </w:r>
            <w:r w:rsidRPr="00D63D96">
              <w:rPr>
                <w:bCs/>
                <w:color w:val="000000"/>
                <w:sz w:val="16"/>
                <w:szCs w:val="16"/>
                <w:lang w:val="en-US"/>
              </w:rPr>
              <w:t>,</w:t>
            </w:r>
            <w:r w:rsidRPr="00642F73">
              <w:rPr>
                <w:b/>
                <w:bCs/>
                <w:i/>
                <w:color w:val="000000"/>
                <w:sz w:val="16"/>
                <w:szCs w:val="16"/>
                <w:lang w:val="en-US"/>
              </w:rPr>
              <w:t xml:space="preserve"> you might not receive any amounts owed to you under the </w:t>
            </w:r>
            <w:r>
              <w:rPr>
                <w:b/>
                <w:bCs/>
                <w:i/>
                <w:color w:val="000000"/>
                <w:sz w:val="16"/>
                <w:szCs w:val="16"/>
                <w:lang w:val="en-US"/>
              </w:rPr>
              <w:t>Notes</w:t>
            </w:r>
            <w:r w:rsidRPr="00D63D96">
              <w:rPr>
                <w:bCs/>
                <w:color w:val="000000"/>
                <w:sz w:val="16"/>
                <w:szCs w:val="16"/>
                <w:lang w:val="en-US"/>
              </w:rPr>
              <w:t>.</w:t>
            </w:r>
            <w:r w:rsidRPr="00642F73">
              <w:rPr>
                <w:b/>
                <w:bCs/>
                <w:i/>
                <w:color w:val="000000"/>
                <w:sz w:val="16"/>
                <w:szCs w:val="16"/>
                <w:lang w:val="en-US"/>
              </w:rPr>
              <w:t xml:space="preserve"> S</w:t>
            </w:r>
            <w:r>
              <w:rPr>
                <w:b/>
                <w:bCs/>
                <w:i/>
                <w:color w:val="000000"/>
                <w:sz w:val="16"/>
                <w:szCs w:val="16"/>
                <w:lang w:val="en-US"/>
              </w:rPr>
              <w:t xml:space="preserve">ee </w:t>
            </w:r>
            <w:r w:rsidRPr="00D63D96">
              <w:rPr>
                <w:bCs/>
                <w:color w:val="000000"/>
                <w:sz w:val="16"/>
                <w:szCs w:val="16"/>
                <w:lang w:val="en-US"/>
              </w:rPr>
              <w:t>“</w:t>
            </w:r>
            <w:r>
              <w:rPr>
                <w:b/>
                <w:bCs/>
                <w:i/>
                <w:color w:val="000000"/>
                <w:sz w:val="16"/>
                <w:szCs w:val="16"/>
                <w:lang w:val="en-US"/>
              </w:rPr>
              <w:t>Consent to U</w:t>
            </w:r>
            <w:r w:rsidRPr="00D63D96">
              <w:rPr>
                <w:bCs/>
                <w:color w:val="000000"/>
                <w:sz w:val="16"/>
                <w:szCs w:val="16"/>
                <w:lang w:val="en-US"/>
              </w:rPr>
              <w:t>.</w:t>
            </w:r>
            <w:r>
              <w:rPr>
                <w:b/>
                <w:bCs/>
                <w:i/>
                <w:color w:val="000000"/>
                <w:sz w:val="16"/>
                <w:szCs w:val="16"/>
                <w:lang w:val="en-US"/>
              </w:rPr>
              <w:t>K</w:t>
            </w:r>
            <w:r w:rsidRPr="00D63D96">
              <w:rPr>
                <w:bCs/>
                <w:color w:val="000000"/>
                <w:sz w:val="16"/>
                <w:szCs w:val="16"/>
                <w:lang w:val="en-US"/>
              </w:rPr>
              <w:t>.</w:t>
            </w:r>
            <w:r>
              <w:rPr>
                <w:b/>
                <w:bCs/>
                <w:i/>
                <w:color w:val="000000"/>
                <w:sz w:val="16"/>
                <w:szCs w:val="16"/>
                <w:lang w:val="en-US"/>
              </w:rPr>
              <w:t xml:space="preserve"> Bail</w:t>
            </w:r>
            <w:r w:rsidRPr="00D63D96">
              <w:rPr>
                <w:bCs/>
                <w:color w:val="000000"/>
                <w:sz w:val="16"/>
                <w:szCs w:val="16"/>
                <w:lang w:val="en-US"/>
              </w:rPr>
              <w:t>-</w:t>
            </w:r>
            <w:r>
              <w:rPr>
                <w:b/>
                <w:bCs/>
                <w:i/>
                <w:color w:val="000000"/>
                <w:sz w:val="16"/>
                <w:szCs w:val="16"/>
                <w:lang w:val="en-US"/>
              </w:rPr>
              <w:t>in Power</w:t>
            </w:r>
            <w:r w:rsidRPr="00D63D96">
              <w:rPr>
                <w:bCs/>
                <w:color w:val="000000"/>
                <w:sz w:val="16"/>
                <w:szCs w:val="16"/>
                <w:lang w:val="en-US"/>
              </w:rPr>
              <w:t>”</w:t>
            </w:r>
            <w:r w:rsidRPr="00642F73">
              <w:rPr>
                <w:b/>
                <w:bCs/>
                <w:i/>
                <w:color w:val="000000"/>
                <w:sz w:val="16"/>
                <w:szCs w:val="16"/>
                <w:lang w:val="en-US"/>
              </w:rPr>
              <w:t xml:space="preserve"> </w:t>
            </w:r>
            <w:r>
              <w:rPr>
                <w:b/>
                <w:bCs/>
                <w:i/>
                <w:color w:val="000000"/>
                <w:sz w:val="16"/>
                <w:szCs w:val="16"/>
                <w:lang w:val="en-US"/>
              </w:rPr>
              <w:t xml:space="preserve">and </w:t>
            </w:r>
            <w:r w:rsidRPr="00D63D96">
              <w:rPr>
                <w:bCs/>
                <w:color w:val="000000"/>
                <w:sz w:val="16"/>
                <w:szCs w:val="16"/>
                <w:lang w:val="en-US"/>
              </w:rPr>
              <w:t>“</w:t>
            </w:r>
            <w:r>
              <w:rPr>
                <w:b/>
                <w:bCs/>
                <w:i/>
                <w:color w:val="000000"/>
                <w:sz w:val="16"/>
                <w:szCs w:val="16"/>
                <w:lang w:val="en-US"/>
              </w:rPr>
              <w:t>Selected Risk Considerations</w:t>
            </w:r>
            <w:r w:rsidRPr="00D63D96">
              <w:rPr>
                <w:bCs/>
                <w:color w:val="000000"/>
                <w:sz w:val="16"/>
                <w:szCs w:val="16"/>
                <w:lang w:val="en-US"/>
              </w:rPr>
              <w:t>”</w:t>
            </w:r>
            <w:r>
              <w:rPr>
                <w:b/>
                <w:bCs/>
                <w:i/>
                <w:color w:val="000000"/>
                <w:sz w:val="16"/>
                <w:szCs w:val="16"/>
                <w:lang w:val="en-US"/>
              </w:rPr>
              <w:t xml:space="preserve"> </w:t>
            </w:r>
            <w:r w:rsidRPr="00642F73">
              <w:rPr>
                <w:b/>
                <w:bCs/>
                <w:i/>
                <w:color w:val="000000"/>
                <w:sz w:val="16"/>
                <w:szCs w:val="16"/>
                <w:lang w:val="en-US"/>
              </w:rPr>
              <w:t xml:space="preserve">in </w:t>
            </w:r>
            <w:r w:rsidR="002E3E40">
              <w:rPr>
                <w:b/>
                <w:bCs/>
                <w:i/>
                <w:color w:val="000000"/>
                <w:sz w:val="16"/>
                <w:szCs w:val="16"/>
                <w:lang w:val="en-US"/>
              </w:rPr>
              <w:t>this pricing supplement</w:t>
            </w:r>
            <w:r w:rsidRPr="00642F73">
              <w:rPr>
                <w:b/>
                <w:bCs/>
                <w:i/>
                <w:color w:val="000000"/>
                <w:sz w:val="16"/>
                <w:szCs w:val="16"/>
                <w:lang w:val="en-US"/>
              </w:rPr>
              <w:t xml:space="preserve"> and </w:t>
            </w:r>
            <w:r w:rsidRPr="00D63D96">
              <w:rPr>
                <w:bCs/>
                <w:color w:val="000000"/>
                <w:sz w:val="16"/>
                <w:szCs w:val="16"/>
                <w:lang w:val="en-US"/>
              </w:rPr>
              <w:t>“</w:t>
            </w:r>
            <w:r w:rsidRPr="00642F73">
              <w:rPr>
                <w:b/>
                <w:bCs/>
                <w:i/>
                <w:color w:val="000000"/>
                <w:sz w:val="16"/>
                <w:szCs w:val="16"/>
                <w:lang w:val="en-US"/>
              </w:rPr>
              <w:t>Risk Factors</w:t>
            </w:r>
            <w:r w:rsidRPr="00D63D96">
              <w:rPr>
                <w:bCs/>
                <w:color w:val="000000"/>
                <w:sz w:val="16"/>
                <w:szCs w:val="16"/>
                <w:lang w:val="en-US"/>
              </w:rPr>
              <w:t>”</w:t>
            </w:r>
            <w:r w:rsidRPr="00642F73">
              <w:rPr>
                <w:b/>
                <w:bCs/>
                <w:i/>
                <w:color w:val="000000"/>
                <w:sz w:val="16"/>
                <w:szCs w:val="16"/>
                <w:lang w:val="en-US"/>
              </w:rPr>
              <w:t xml:space="preserve"> in the accompanying prospectus </w:t>
            </w:r>
            <w:r>
              <w:rPr>
                <w:b/>
                <w:bCs/>
                <w:i/>
                <w:color w:val="000000"/>
                <w:sz w:val="16"/>
                <w:szCs w:val="16"/>
                <w:lang w:val="en-US"/>
              </w:rPr>
              <w:t>supplement for more information</w:t>
            </w:r>
            <w:r w:rsidRPr="00D63D96">
              <w:rPr>
                <w:sz w:val="16"/>
                <w:szCs w:val="16"/>
              </w:rPr>
              <w:t>.</w:t>
            </w:r>
          </w:p>
        </w:tc>
      </w:tr>
      <w:tr w:rsidR="00C8439E" w:rsidTr="00253D30">
        <w:tc>
          <w:tcPr>
            <w:tcW w:w="2070" w:type="dxa"/>
          </w:tcPr>
          <w:p w:rsidR="00C8439E" w:rsidRDefault="00C8439E" w:rsidP="00426DAE">
            <w:pPr>
              <w:pStyle w:val="BodyText1"/>
              <w:spacing w:after="40"/>
              <w:rPr>
                <w:b/>
                <w:sz w:val="16"/>
                <w:szCs w:val="16"/>
              </w:rPr>
            </w:pPr>
            <w:r>
              <w:rPr>
                <w:sz w:val="16"/>
                <w:szCs w:val="16"/>
              </w:rPr>
              <w:t>Consent to U.K. Bail-in Power:</w:t>
            </w:r>
          </w:p>
        </w:tc>
        <w:tc>
          <w:tcPr>
            <w:tcW w:w="8687" w:type="dxa"/>
          </w:tcPr>
          <w:p w:rsidR="00C8439E" w:rsidRDefault="0069701C">
            <w:pPr>
              <w:pStyle w:val="BodyText1"/>
              <w:spacing w:after="40"/>
              <w:jc w:val="both"/>
              <w:rPr>
                <w:b/>
                <w:sz w:val="16"/>
                <w:szCs w:val="16"/>
              </w:rPr>
            </w:pPr>
            <w:r w:rsidRPr="003310C3">
              <w:rPr>
                <w:sz w:val="16"/>
                <w:szCs w:val="16"/>
              </w:rPr>
              <w:t xml:space="preserve">Notwithstanding any other agreements, arrangements or understandings between Barclays Bank PLC and any holder </w:t>
            </w:r>
            <w:r>
              <w:rPr>
                <w:sz w:val="16"/>
                <w:szCs w:val="16"/>
              </w:rPr>
              <w:t xml:space="preserve">or beneficial owner </w:t>
            </w:r>
            <w:r w:rsidRPr="003310C3">
              <w:rPr>
                <w:sz w:val="16"/>
                <w:szCs w:val="16"/>
              </w:rPr>
              <w:t xml:space="preserve">of the </w:t>
            </w:r>
            <w:r>
              <w:rPr>
                <w:sz w:val="16"/>
                <w:szCs w:val="16"/>
              </w:rPr>
              <w:t>Notes</w:t>
            </w:r>
            <w:r w:rsidRPr="003310C3">
              <w:rPr>
                <w:sz w:val="16"/>
                <w:szCs w:val="16"/>
              </w:rPr>
              <w:t xml:space="preserve">, by acquiring the </w:t>
            </w:r>
            <w:r>
              <w:rPr>
                <w:sz w:val="16"/>
                <w:szCs w:val="16"/>
              </w:rPr>
              <w:t>Notes</w:t>
            </w:r>
            <w:r w:rsidRPr="003310C3">
              <w:rPr>
                <w:sz w:val="16"/>
                <w:szCs w:val="16"/>
              </w:rPr>
              <w:t>, each holder</w:t>
            </w:r>
            <w:r>
              <w:rPr>
                <w:sz w:val="16"/>
                <w:szCs w:val="16"/>
              </w:rPr>
              <w:t xml:space="preserve"> and beneficial owner</w:t>
            </w:r>
            <w:r w:rsidRPr="003310C3">
              <w:rPr>
                <w:sz w:val="16"/>
                <w:szCs w:val="16"/>
              </w:rPr>
              <w:t xml:space="preserve"> of the </w:t>
            </w:r>
            <w:r>
              <w:rPr>
                <w:sz w:val="16"/>
                <w:szCs w:val="16"/>
              </w:rPr>
              <w:t>Notes</w:t>
            </w:r>
            <w:r w:rsidRPr="003310C3">
              <w:rPr>
                <w:sz w:val="16"/>
                <w:szCs w:val="16"/>
              </w:rPr>
              <w:t xml:space="preserve"> acknowledges, accepts, agrees to be bound by, and consents to the exercise of, any U.K. Bail-in Power by the relevant U.K. resolution authority</w:t>
            </w:r>
            <w:r>
              <w:rPr>
                <w:sz w:val="16"/>
                <w:szCs w:val="16"/>
              </w:rPr>
              <w:t xml:space="preserve">. </w:t>
            </w:r>
            <w:r w:rsidR="00C8439E">
              <w:rPr>
                <w:sz w:val="16"/>
                <w:szCs w:val="16"/>
              </w:rPr>
              <w:t xml:space="preserve">See “Consent to U.K. Bail-in Power” on page </w:t>
            </w:r>
            <w:r w:rsidR="002E3E40">
              <w:rPr>
                <w:sz w:val="16"/>
                <w:szCs w:val="16"/>
              </w:rPr>
              <w:t>PS</w:t>
            </w:r>
            <w:r w:rsidR="00D63D96">
              <w:rPr>
                <w:sz w:val="14"/>
                <w:szCs w:val="14"/>
              </w:rPr>
              <w:t>–</w:t>
            </w:r>
            <w:r w:rsidR="00136F87">
              <w:rPr>
                <w:sz w:val="16"/>
                <w:szCs w:val="16"/>
              </w:rPr>
              <w:fldChar w:fldCharType="begin"/>
            </w:r>
            <w:r w:rsidR="00D63D96">
              <w:rPr>
                <w:sz w:val="16"/>
                <w:szCs w:val="16"/>
              </w:rPr>
              <w:instrText xml:space="preserve"> PAGEREF Bail_In \h </w:instrText>
            </w:r>
            <w:r w:rsidR="00136F87">
              <w:rPr>
                <w:sz w:val="16"/>
                <w:szCs w:val="16"/>
              </w:rPr>
            </w:r>
            <w:r w:rsidR="00136F87">
              <w:rPr>
                <w:sz w:val="16"/>
                <w:szCs w:val="16"/>
              </w:rPr>
              <w:fldChar w:fldCharType="separate"/>
            </w:r>
            <w:r w:rsidR="0058601F">
              <w:rPr>
                <w:noProof/>
                <w:sz w:val="16"/>
                <w:szCs w:val="16"/>
              </w:rPr>
              <w:t>4</w:t>
            </w:r>
            <w:r w:rsidR="00136F87">
              <w:rPr>
                <w:sz w:val="16"/>
                <w:szCs w:val="16"/>
              </w:rPr>
              <w:fldChar w:fldCharType="end"/>
            </w:r>
            <w:r w:rsidR="00C8439E">
              <w:rPr>
                <w:sz w:val="16"/>
                <w:szCs w:val="16"/>
              </w:rPr>
              <w:t xml:space="preserve"> of </w:t>
            </w:r>
            <w:r w:rsidR="002E3E40">
              <w:rPr>
                <w:sz w:val="16"/>
                <w:szCs w:val="16"/>
              </w:rPr>
              <w:t>this pricing supplement</w:t>
            </w:r>
            <w:r w:rsidR="00C8439E">
              <w:rPr>
                <w:sz w:val="16"/>
                <w:szCs w:val="16"/>
              </w:rPr>
              <w:t>.</w:t>
            </w:r>
          </w:p>
        </w:tc>
      </w:tr>
    </w:tbl>
    <w:p w:rsidR="00992685" w:rsidRPr="00992685" w:rsidRDefault="00992685" w:rsidP="00992685">
      <w:pPr>
        <w:jc w:val="center"/>
        <w:rPr>
          <w:i/>
          <w:sz w:val="16"/>
          <w:szCs w:val="16"/>
        </w:rPr>
      </w:pPr>
      <w:r w:rsidRPr="00BE1B28">
        <w:rPr>
          <w:sz w:val="16"/>
          <w:szCs w:val="16"/>
        </w:rPr>
        <w:t>[</w:t>
      </w:r>
      <w:r w:rsidRPr="00BE1B28">
        <w:rPr>
          <w:i/>
          <w:sz w:val="16"/>
          <w:szCs w:val="16"/>
        </w:rPr>
        <w:t xml:space="preserve">Terms of the Notes Continue on the Next </w:t>
      </w:r>
      <w:r w:rsidRPr="00992685">
        <w:rPr>
          <w:i/>
          <w:sz w:val="16"/>
          <w:szCs w:val="16"/>
        </w:rPr>
        <w:t>Page]</w:t>
      </w:r>
    </w:p>
    <w:tbl>
      <w:tblPr>
        <w:tblW w:w="0" w:type="auto"/>
        <w:jc w:val="center"/>
        <w:tblLook w:val="01E0" w:firstRow="1" w:lastRow="1" w:firstColumn="1" w:lastColumn="1" w:noHBand="0" w:noVBand="0"/>
      </w:tblPr>
      <w:tblGrid>
        <w:gridCol w:w="959"/>
        <w:gridCol w:w="1924"/>
        <w:gridCol w:w="2022"/>
        <w:gridCol w:w="2198"/>
        <w:gridCol w:w="2861"/>
      </w:tblGrid>
      <w:tr w:rsidR="008678CA" w:rsidTr="00C23812">
        <w:trPr>
          <w:trHeight w:val="66"/>
          <w:jc w:val="center"/>
        </w:trPr>
        <w:tc>
          <w:tcPr>
            <w:tcW w:w="959" w:type="dxa"/>
          </w:tcPr>
          <w:p w:rsidR="008678CA" w:rsidRDefault="008678CA">
            <w:pPr>
              <w:rPr>
                <w:color w:val="000000"/>
                <w:sz w:val="16"/>
                <w:szCs w:val="16"/>
              </w:rPr>
            </w:pPr>
          </w:p>
        </w:tc>
        <w:tc>
          <w:tcPr>
            <w:tcW w:w="1924" w:type="dxa"/>
            <w:vAlign w:val="bottom"/>
          </w:tcPr>
          <w:p w:rsidR="008678CA" w:rsidRDefault="000A7489" w:rsidP="007C5E04">
            <w:pPr>
              <w:pBdr>
                <w:bottom w:val="single" w:sz="4" w:space="1" w:color="auto"/>
              </w:pBdr>
              <w:jc w:val="center"/>
              <w:rPr>
                <w:b/>
                <w:color w:val="000000"/>
                <w:sz w:val="16"/>
                <w:szCs w:val="16"/>
              </w:rPr>
            </w:pPr>
            <w:r>
              <w:rPr>
                <w:b/>
                <w:color w:val="000000"/>
                <w:sz w:val="16"/>
                <w:szCs w:val="16"/>
              </w:rPr>
              <w:t>Initial Issue Price</w:t>
            </w:r>
            <w:r w:rsidRPr="00C23812">
              <w:rPr>
                <w:rFonts w:ascii="Times New Roman Bold" w:hAnsi="Times New Roman Bold"/>
                <w:color w:val="000000"/>
                <w:sz w:val="16"/>
                <w:szCs w:val="16"/>
                <w:vertAlign w:val="superscript"/>
              </w:rPr>
              <w:t>(1</w:t>
            </w:r>
            <w:r w:rsidR="007C5E04">
              <w:rPr>
                <w:rFonts w:ascii="Times New Roman Bold" w:hAnsi="Times New Roman Bold"/>
                <w:color w:val="000000"/>
                <w:sz w:val="16"/>
                <w:szCs w:val="16"/>
                <w:vertAlign w:val="superscript"/>
              </w:rPr>
              <w:t>)</w:t>
            </w:r>
          </w:p>
        </w:tc>
        <w:tc>
          <w:tcPr>
            <w:tcW w:w="2022" w:type="dxa"/>
            <w:vAlign w:val="bottom"/>
          </w:tcPr>
          <w:p w:rsidR="008678CA" w:rsidRDefault="000A7489" w:rsidP="00C23812">
            <w:pPr>
              <w:pBdr>
                <w:bottom w:val="single" w:sz="4" w:space="1" w:color="auto"/>
              </w:pBdr>
              <w:jc w:val="center"/>
              <w:rPr>
                <w:b/>
                <w:color w:val="000000"/>
                <w:sz w:val="16"/>
                <w:szCs w:val="16"/>
              </w:rPr>
            </w:pPr>
            <w:r>
              <w:rPr>
                <w:b/>
                <w:color w:val="000000"/>
                <w:sz w:val="16"/>
                <w:szCs w:val="16"/>
              </w:rPr>
              <w:t>Price to Public</w:t>
            </w:r>
          </w:p>
        </w:tc>
        <w:tc>
          <w:tcPr>
            <w:tcW w:w="2198" w:type="dxa"/>
            <w:vAlign w:val="bottom"/>
          </w:tcPr>
          <w:p w:rsidR="008678CA" w:rsidRDefault="000A7489" w:rsidP="007C5E04">
            <w:pPr>
              <w:pBdr>
                <w:bottom w:val="single" w:sz="4" w:space="1" w:color="auto"/>
              </w:pBdr>
              <w:jc w:val="center"/>
              <w:rPr>
                <w:b/>
                <w:color w:val="000000"/>
                <w:sz w:val="16"/>
                <w:szCs w:val="16"/>
              </w:rPr>
            </w:pPr>
            <w:r>
              <w:rPr>
                <w:b/>
                <w:color w:val="000000"/>
                <w:sz w:val="16"/>
                <w:szCs w:val="16"/>
              </w:rPr>
              <w:t>Agent</w:t>
            </w:r>
            <w:r w:rsidRPr="00C23812">
              <w:rPr>
                <w:color w:val="000000"/>
                <w:sz w:val="16"/>
                <w:szCs w:val="16"/>
              </w:rPr>
              <w:t>’</w:t>
            </w:r>
            <w:r>
              <w:rPr>
                <w:b/>
                <w:color w:val="000000"/>
                <w:sz w:val="16"/>
                <w:szCs w:val="16"/>
              </w:rPr>
              <w:t>s Commission</w:t>
            </w:r>
            <w:r w:rsidRPr="00C23812">
              <w:rPr>
                <w:rFonts w:ascii="Times New Roman Bold" w:hAnsi="Times New Roman Bold"/>
                <w:color w:val="000000"/>
                <w:sz w:val="16"/>
                <w:szCs w:val="16"/>
                <w:vertAlign w:val="superscript"/>
              </w:rPr>
              <w:t>(</w:t>
            </w:r>
            <w:r w:rsidR="007C5E04">
              <w:rPr>
                <w:rFonts w:ascii="Times New Roman Bold" w:hAnsi="Times New Roman Bold"/>
                <w:color w:val="000000"/>
                <w:sz w:val="16"/>
                <w:szCs w:val="16"/>
                <w:vertAlign w:val="superscript"/>
              </w:rPr>
              <w:t>2</w:t>
            </w:r>
            <w:r w:rsidRPr="00C23812">
              <w:rPr>
                <w:rFonts w:ascii="Times New Roman Bold" w:hAnsi="Times New Roman Bold"/>
                <w:color w:val="000000"/>
                <w:sz w:val="16"/>
                <w:szCs w:val="16"/>
                <w:vertAlign w:val="superscript"/>
              </w:rPr>
              <w:t>)</w:t>
            </w:r>
          </w:p>
        </w:tc>
        <w:tc>
          <w:tcPr>
            <w:tcW w:w="2861" w:type="dxa"/>
            <w:vAlign w:val="bottom"/>
          </w:tcPr>
          <w:p w:rsidR="008678CA" w:rsidRDefault="000A7489" w:rsidP="00C23812">
            <w:pPr>
              <w:pBdr>
                <w:bottom w:val="single" w:sz="4" w:space="1" w:color="auto"/>
              </w:pBdr>
              <w:jc w:val="center"/>
              <w:rPr>
                <w:b/>
                <w:color w:val="000000"/>
                <w:sz w:val="16"/>
                <w:szCs w:val="16"/>
              </w:rPr>
            </w:pPr>
            <w:r>
              <w:rPr>
                <w:b/>
                <w:color w:val="000000"/>
                <w:sz w:val="16"/>
                <w:szCs w:val="16"/>
              </w:rPr>
              <w:t>Proceeds to Barclays Bank PLC</w:t>
            </w:r>
          </w:p>
        </w:tc>
      </w:tr>
      <w:tr w:rsidR="00535F8E" w:rsidTr="00C23812">
        <w:trPr>
          <w:jc w:val="center"/>
        </w:trPr>
        <w:tc>
          <w:tcPr>
            <w:tcW w:w="959" w:type="dxa"/>
            <w:vAlign w:val="center"/>
          </w:tcPr>
          <w:p w:rsidR="00535F8E" w:rsidRDefault="00535F8E" w:rsidP="00C23812">
            <w:pPr>
              <w:rPr>
                <w:b/>
                <w:color w:val="000000"/>
                <w:sz w:val="16"/>
                <w:szCs w:val="16"/>
              </w:rPr>
            </w:pPr>
            <w:r>
              <w:rPr>
                <w:b/>
                <w:color w:val="000000"/>
                <w:sz w:val="16"/>
                <w:szCs w:val="16"/>
              </w:rPr>
              <w:t>Per Note</w:t>
            </w:r>
          </w:p>
        </w:tc>
        <w:tc>
          <w:tcPr>
            <w:tcW w:w="1924" w:type="dxa"/>
            <w:vAlign w:val="center"/>
          </w:tcPr>
          <w:p w:rsidR="00535F8E" w:rsidRDefault="00535F8E" w:rsidP="00C23812">
            <w:pPr>
              <w:jc w:val="center"/>
              <w:rPr>
                <w:color w:val="000000"/>
                <w:sz w:val="16"/>
                <w:szCs w:val="16"/>
              </w:rPr>
            </w:pPr>
            <w:r>
              <w:rPr>
                <w:color w:val="000000"/>
                <w:sz w:val="16"/>
                <w:szCs w:val="16"/>
              </w:rPr>
              <w:t>$1,000</w:t>
            </w:r>
          </w:p>
        </w:tc>
        <w:tc>
          <w:tcPr>
            <w:tcW w:w="2022" w:type="dxa"/>
            <w:vAlign w:val="center"/>
          </w:tcPr>
          <w:p w:rsidR="00535F8E" w:rsidRDefault="00535F8E" w:rsidP="00C23812">
            <w:pPr>
              <w:jc w:val="center"/>
              <w:rPr>
                <w:color w:val="000000"/>
                <w:sz w:val="16"/>
                <w:szCs w:val="16"/>
              </w:rPr>
            </w:pPr>
            <w:r>
              <w:rPr>
                <w:color w:val="000000"/>
                <w:sz w:val="16"/>
                <w:szCs w:val="16"/>
              </w:rPr>
              <w:t>100%</w:t>
            </w:r>
          </w:p>
        </w:tc>
        <w:tc>
          <w:tcPr>
            <w:tcW w:w="2198" w:type="dxa"/>
            <w:vAlign w:val="center"/>
          </w:tcPr>
          <w:p w:rsidR="00946932" w:rsidRDefault="007C5E04" w:rsidP="00C23812">
            <w:pPr>
              <w:jc w:val="center"/>
              <w:rPr>
                <w:b/>
                <w:color w:val="000000"/>
                <w:sz w:val="16"/>
                <w:szCs w:val="16"/>
              </w:rPr>
            </w:pPr>
            <w:r>
              <w:rPr>
                <w:color w:val="000000"/>
                <w:sz w:val="16"/>
                <w:szCs w:val="16"/>
              </w:rPr>
              <w:t>0</w:t>
            </w:r>
            <w:r w:rsidR="00535F8E">
              <w:rPr>
                <w:color w:val="000000"/>
                <w:sz w:val="16"/>
                <w:szCs w:val="16"/>
              </w:rPr>
              <w:t>%</w:t>
            </w:r>
          </w:p>
        </w:tc>
        <w:tc>
          <w:tcPr>
            <w:tcW w:w="2861" w:type="dxa"/>
            <w:vAlign w:val="center"/>
          </w:tcPr>
          <w:p w:rsidR="00946932" w:rsidRDefault="007C5E04">
            <w:pPr>
              <w:jc w:val="center"/>
              <w:rPr>
                <w:b/>
                <w:color w:val="000000"/>
                <w:sz w:val="16"/>
                <w:szCs w:val="16"/>
              </w:rPr>
            </w:pPr>
            <w:r>
              <w:rPr>
                <w:color w:val="000000"/>
                <w:sz w:val="16"/>
                <w:szCs w:val="16"/>
              </w:rPr>
              <w:t>100</w:t>
            </w:r>
            <w:r w:rsidR="00535F8E">
              <w:rPr>
                <w:color w:val="000000"/>
                <w:sz w:val="16"/>
                <w:szCs w:val="16"/>
              </w:rPr>
              <w:t>%</w:t>
            </w:r>
          </w:p>
        </w:tc>
      </w:tr>
      <w:tr w:rsidR="008678CA" w:rsidTr="00C23812">
        <w:trPr>
          <w:trHeight w:val="80"/>
          <w:jc w:val="center"/>
        </w:trPr>
        <w:tc>
          <w:tcPr>
            <w:tcW w:w="959" w:type="dxa"/>
            <w:vAlign w:val="center"/>
          </w:tcPr>
          <w:p w:rsidR="008678CA" w:rsidRDefault="000A7489" w:rsidP="00C23812">
            <w:pPr>
              <w:rPr>
                <w:b/>
                <w:color w:val="000000"/>
                <w:sz w:val="16"/>
                <w:szCs w:val="16"/>
              </w:rPr>
            </w:pPr>
            <w:r>
              <w:rPr>
                <w:b/>
                <w:color w:val="000000"/>
                <w:sz w:val="16"/>
                <w:szCs w:val="16"/>
              </w:rPr>
              <w:t>Total</w:t>
            </w:r>
          </w:p>
        </w:tc>
        <w:tc>
          <w:tcPr>
            <w:tcW w:w="1924" w:type="dxa"/>
            <w:vAlign w:val="center"/>
          </w:tcPr>
          <w:p w:rsidR="008678CA" w:rsidRDefault="000A7489" w:rsidP="00C23812">
            <w:pPr>
              <w:jc w:val="center"/>
              <w:rPr>
                <w:color w:val="000000"/>
                <w:sz w:val="16"/>
                <w:szCs w:val="16"/>
              </w:rPr>
            </w:pPr>
            <w:r>
              <w:rPr>
                <w:color w:val="000000"/>
                <w:sz w:val="16"/>
                <w:szCs w:val="16"/>
              </w:rPr>
              <w:t>$[●]</w:t>
            </w:r>
          </w:p>
        </w:tc>
        <w:tc>
          <w:tcPr>
            <w:tcW w:w="2022" w:type="dxa"/>
            <w:vAlign w:val="center"/>
          </w:tcPr>
          <w:p w:rsidR="008678CA" w:rsidRDefault="000A7489" w:rsidP="00C23812">
            <w:pPr>
              <w:jc w:val="center"/>
              <w:rPr>
                <w:color w:val="000000"/>
                <w:sz w:val="16"/>
                <w:szCs w:val="16"/>
              </w:rPr>
            </w:pPr>
            <w:r>
              <w:rPr>
                <w:color w:val="000000"/>
                <w:sz w:val="16"/>
                <w:szCs w:val="16"/>
              </w:rPr>
              <w:t>$[●]</w:t>
            </w:r>
          </w:p>
        </w:tc>
        <w:tc>
          <w:tcPr>
            <w:tcW w:w="2198" w:type="dxa"/>
            <w:vAlign w:val="center"/>
          </w:tcPr>
          <w:p w:rsidR="008678CA" w:rsidRDefault="000A7489" w:rsidP="00C23812">
            <w:pPr>
              <w:jc w:val="center"/>
              <w:rPr>
                <w:color w:val="000000"/>
                <w:sz w:val="16"/>
                <w:szCs w:val="16"/>
              </w:rPr>
            </w:pPr>
            <w:r>
              <w:rPr>
                <w:color w:val="000000"/>
                <w:sz w:val="16"/>
                <w:szCs w:val="16"/>
              </w:rPr>
              <w:t>$[●]</w:t>
            </w:r>
          </w:p>
        </w:tc>
        <w:tc>
          <w:tcPr>
            <w:tcW w:w="2861" w:type="dxa"/>
            <w:vAlign w:val="center"/>
          </w:tcPr>
          <w:p w:rsidR="008678CA" w:rsidRDefault="000A7489" w:rsidP="00C23812">
            <w:pPr>
              <w:jc w:val="center"/>
              <w:rPr>
                <w:color w:val="000000"/>
                <w:sz w:val="16"/>
                <w:szCs w:val="16"/>
              </w:rPr>
            </w:pPr>
            <w:r>
              <w:rPr>
                <w:color w:val="000000"/>
                <w:sz w:val="16"/>
                <w:szCs w:val="16"/>
              </w:rPr>
              <w:t>$[●]</w:t>
            </w:r>
          </w:p>
        </w:tc>
      </w:tr>
    </w:tbl>
    <w:p w:rsidR="00544B5E" w:rsidRDefault="00CF4777" w:rsidP="006B0B8C">
      <w:pPr>
        <w:pStyle w:val="BodyText2"/>
        <w:numPr>
          <w:ilvl w:val="0"/>
          <w:numId w:val="46"/>
        </w:numPr>
        <w:spacing w:before="60" w:after="60"/>
        <w:jc w:val="both"/>
        <w:rPr>
          <w:sz w:val="6"/>
          <w:szCs w:val="6"/>
          <w:lang w:val="en-US"/>
        </w:rPr>
      </w:pPr>
      <w:r>
        <w:rPr>
          <w:sz w:val="16"/>
          <w:szCs w:val="16"/>
        </w:rPr>
        <w:t xml:space="preserve">Our estimated value of the Notes on the Initial Valuation Date, based on our internal pricing models, is expected to </w:t>
      </w:r>
      <w:r>
        <w:rPr>
          <w:color w:val="000000"/>
          <w:sz w:val="16"/>
          <w:szCs w:val="16"/>
        </w:rPr>
        <w:t xml:space="preserve">be between </w:t>
      </w:r>
      <w:r w:rsidRPr="006332C2">
        <w:rPr>
          <w:color w:val="000000"/>
          <w:sz w:val="16"/>
          <w:szCs w:val="16"/>
        </w:rPr>
        <w:t>$</w:t>
      </w:r>
      <w:r w:rsidR="007C5E04">
        <w:rPr>
          <w:color w:val="000000"/>
          <w:sz w:val="16"/>
          <w:szCs w:val="16"/>
        </w:rPr>
        <w:t>930.00</w:t>
      </w:r>
      <w:r w:rsidRPr="006332C2">
        <w:rPr>
          <w:color w:val="000000"/>
          <w:sz w:val="16"/>
          <w:szCs w:val="16"/>
        </w:rPr>
        <w:t xml:space="preserve"> and </w:t>
      </w:r>
      <w:r w:rsidR="0047392A">
        <w:rPr>
          <w:color w:val="000000"/>
          <w:sz w:val="16"/>
          <w:szCs w:val="16"/>
        </w:rPr>
        <w:t>$</w:t>
      </w:r>
      <w:r w:rsidR="007C5E04">
        <w:rPr>
          <w:color w:val="000000"/>
          <w:sz w:val="16"/>
          <w:szCs w:val="16"/>
        </w:rPr>
        <w:t>962.40</w:t>
      </w:r>
      <w:r>
        <w:rPr>
          <w:color w:val="000000"/>
          <w:sz w:val="16"/>
          <w:szCs w:val="16"/>
        </w:rPr>
        <w:t xml:space="preserve"> per</w:t>
      </w:r>
      <w:r>
        <w:rPr>
          <w:sz w:val="16"/>
          <w:szCs w:val="16"/>
        </w:rPr>
        <w:t xml:space="preserve"> Note. The estimated value is expected to be less than the initial issue price of the Notes. See “Additional Information Regarding Our Estimated Value of the Notes” on page PS</w:t>
      </w:r>
      <w:r>
        <w:rPr>
          <w:sz w:val="14"/>
          <w:szCs w:val="14"/>
        </w:rPr>
        <w:t>–</w:t>
      </w:r>
      <w:r w:rsidR="00136F87" w:rsidRPr="00E34E64">
        <w:rPr>
          <w:sz w:val="16"/>
          <w:szCs w:val="16"/>
        </w:rPr>
        <w:fldChar w:fldCharType="begin"/>
      </w:r>
      <w:r>
        <w:rPr>
          <w:sz w:val="16"/>
          <w:szCs w:val="16"/>
        </w:rPr>
        <w:instrText xml:space="preserve"> PAGEREF Fair_Value \h </w:instrText>
      </w:r>
      <w:r w:rsidR="00136F87" w:rsidRPr="00E34E64">
        <w:rPr>
          <w:sz w:val="16"/>
          <w:szCs w:val="16"/>
        </w:rPr>
      </w:r>
      <w:r w:rsidR="00136F87" w:rsidRPr="00E34E64">
        <w:rPr>
          <w:sz w:val="16"/>
          <w:szCs w:val="16"/>
        </w:rPr>
        <w:fldChar w:fldCharType="separate"/>
      </w:r>
      <w:r w:rsidR="0058601F">
        <w:rPr>
          <w:noProof/>
          <w:sz w:val="16"/>
          <w:szCs w:val="16"/>
        </w:rPr>
        <w:t>5</w:t>
      </w:r>
      <w:r w:rsidR="00136F87" w:rsidRPr="00E34E64">
        <w:rPr>
          <w:sz w:val="16"/>
          <w:szCs w:val="16"/>
        </w:rPr>
        <w:fldChar w:fldCharType="end"/>
      </w:r>
      <w:r>
        <w:rPr>
          <w:sz w:val="16"/>
          <w:szCs w:val="16"/>
        </w:rPr>
        <w:t xml:space="preserve"> of this pricing supplement.</w:t>
      </w:r>
    </w:p>
    <w:p w:rsidR="00544B5E" w:rsidRDefault="007C5E04" w:rsidP="006B0B8C">
      <w:pPr>
        <w:numPr>
          <w:ilvl w:val="0"/>
          <w:numId w:val="46"/>
        </w:numPr>
        <w:spacing w:before="60" w:after="60"/>
        <w:jc w:val="both"/>
        <w:rPr>
          <w:sz w:val="16"/>
          <w:szCs w:val="16"/>
        </w:rPr>
      </w:pPr>
      <w:r>
        <w:rPr>
          <w:sz w:val="16"/>
          <w:szCs w:val="16"/>
        </w:rPr>
        <w:t>Investors that hold their Notes in fee-based advisory or trust accounts may be charged fees by the investment advisor or manager of such account based on the amount of assets held in those accounts, including the Notes.</w:t>
      </w:r>
    </w:p>
    <w:p w:rsidR="00544B5E" w:rsidRDefault="000A7489" w:rsidP="006B0B8C">
      <w:pPr>
        <w:spacing w:before="60" w:after="60"/>
        <w:jc w:val="both"/>
        <w:rPr>
          <w:b/>
          <w:color w:val="FF0000"/>
          <w:sz w:val="16"/>
          <w:szCs w:val="16"/>
        </w:rPr>
      </w:pPr>
      <w:r>
        <w:rPr>
          <w:b/>
          <w:color w:val="FF0000"/>
          <w:sz w:val="16"/>
          <w:szCs w:val="16"/>
        </w:rPr>
        <w:t>Investing in the Notes involves a number of risks</w:t>
      </w:r>
      <w:r w:rsidRPr="00C23812">
        <w:rPr>
          <w:color w:val="FF0000"/>
          <w:sz w:val="16"/>
          <w:szCs w:val="16"/>
        </w:rPr>
        <w:t>.</w:t>
      </w:r>
      <w:r>
        <w:rPr>
          <w:b/>
          <w:color w:val="FF0000"/>
          <w:sz w:val="16"/>
          <w:szCs w:val="16"/>
        </w:rPr>
        <w:t xml:space="preserve"> See </w:t>
      </w:r>
      <w:r w:rsidRPr="00C23812">
        <w:rPr>
          <w:color w:val="FF0000"/>
          <w:sz w:val="16"/>
          <w:szCs w:val="16"/>
        </w:rPr>
        <w:t>“</w:t>
      </w:r>
      <w:r>
        <w:rPr>
          <w:b/>
          <w:color w:val="FF0000"/>
          <w:sz w:val="16"/>
          <w:szCs w:val="16"/>
        </w:rPr>
        <w:t>Risk Factors</w:t>
      </w:r>
      <w:r w:rsidRPr="00C23812">
        <w:rPr>
          <w:color w:val="FF0000"/>
          <w:sz w:val="16"/>
          <w:szCs w:val="16"/>
        </w:rPr>
        <w:t>”</w:t>
      </w:r>
      <w:r>
        <w:rPr>
          <w:b/>
          <w:color w:val="FF0000"/>
          <w:sz w:val="16"/>
          <w:szCs w:val="16"/>
        </w:rPr>
        <w:t xml:space="preserve"> beginning on page S</w:t>
      </w:r>
      <w:r w:rsidR="00D63D96" w:rsidRPr="00D63D96">
        <w:rPr>
          <w:color w:val="FF0000"/>
          <w:sz w:val="14"/>
          <w:szCs w:val="14"/>
        </w:rPr>
        <w:t>–</w:t>
      </w:r>
      <w:r w:rsidR="001F1FAB">
        <w:rPr>
          <w:b/>
          <w:color w:val="FF0000"/>
          <w:sz w:val="16"/>
          <w:szCs w:val="16"/>
        </w:rPr>
        <w:t xml:space="preserve">7 </w:t>
      </w:r>
      <w:r>
        <w:rPr>
          <w:b/>
          <w:color w:val="FF0000"/>
          <w:sz w:val="16"/>
          <w:szCs w:val="16"/>
        </w:rPr>
        <w:t>of the prospectus supplement</w:t>
      </w:r>
      <w:r w:rsidR="00F303B8">
        <w:rPr>
          <w:b/>
          <w:color w:val="FF0000"/>
          <w:sz w:val="16"/>
          <w:szCs w:val="16"/>
        </w:rPr>
        <w:t xml:space="preserve"> </w:t>
      </w:r>
      <w:r>
        <w:rPr>
          <w:b/>
          <w:color w:val="FF0000"/>
          <w:sz w:val="16"/>
          <w:szCs w:val="16"/>
        </w:rPr>
        <w:t xml:space="preserve">and </w:t>
      </w:r>
      <w:r w:rsidRPr="00C23812">
        <w:rPr>
          <w:color w:val="FF0000"/>
          <w:sz w:val="16"/>
          <w:szCs w:val="16"/>
        </w:rPr>
        <w:t>“</w:t>
      </w:r>
      <w:r>
        <w:rPr>
          <w:b/>
          <w:color w:val="FF0000"/>
          <w:sz w:val="16"/>
          <w:szCs w:val="16"/>
        </w:rPr>
        <w:t>Selected Risk Considerations</w:t>
      </w:r>
      <w:r w:rsidRPr="00C23812">
        <w:rPr>
          <w:color w:val="FF0000"/>
          <w:sz w:val="16"/>
          <w:szCs w:val="16"/>
        </w:rPr>
        <w:t>”</w:t>
      </w:r>
      <w:r>
        <w:rPr>
          <w:b/>
          <w:color w:val="FF0000"/>
          <w:sz w:val="16"/>
          <w:szCs w:val="16"/>
        </w:rPr>
        <w:t xml:space="preserve"> beginning on page </w:t>
      </w:r>
      <w:r w:rsidR="002E3E40">
        <w:rPr>
          <w:b/>
          <w:color w:val="FF0000"/>
          <w:sz w:val="16"/>
          <w:szCs w:val="16"/>
        </w:rPr>
        <w:t>PS</w:t>
      </w:r>
      <w:r w:rsidR="00D63D96" w:rsidRPr="00D63D96">
        <w:rPr>
          <w:color w:val="FF0000"/>
          <w:sz w:val="14"/>
          <w:szCs w:val="14"/>
        </w:rPr>
        <w:t>–</w:t>
      </w:r>
      <w:r w:rsidR="00136F87">
        <w:rPr>
          <w:b/>
          <w:color w:val="FF0000"/>
          <w:sz w:val="16"/>
          <w:szCs w:val="16"/>
        </w:rPr>
        <w:fldChar w:fldCharType="begin"/>
      </w:r>
      <w:r w:rsidR="00D63D96">
        <w:rPr>
          <w:b/>
          <w:color w:val="FF0000"/>
          <w:sz w:val="16"/>
          <w:szCs w:val="16"/>
        </w:rPr>
        <w:instrText xml:space="preserve"> PAGEREF Selected_Risk_Considerations \h </w:instrText>
      </w:r>
      <w:r w:rsidR="00136F87">
        <w:rPr>
          <w:b/>
          <w:color w:val="FF0000"/>
          <w:sz w:val="16"/>
          <w:szCs w:val="16"/>
        </w:rPr>
      </w:r>
      <w:r w:rsidR="00136F87">
        <w:rPr>
          <w:b/>
          <w:color w:val="FF0000"/>
          <w:sz w:val="16"/>
          <w:szCs w:val="16"/>
        </w:rPr>
        <w:fldChar w:fldCharType="separate"/>
      </w:r>
      <w:r w:rsidR="0058601F">
        <w:rPr>
          <w:b/>
          <w:noProof/>
          <w:color w:val="FF0000"/>
          <w:sz w:val="16"/>
          <w:szCs w:val="16"/>
        </w:rPr>
        <w:t>10</w:t>
      </w:r>
      <w:r w:rsidR="00136F87">
        <w:rPr>
          <w:b/>
          <w:color w:val="FF0000"/>
          <w:sz w:val="16"/>
          <w:szCs w:val="16"/>
        </w:rPr>
        <w:fldChar w:fldCharType="end"/>
      </w:r>
      <w:r w:rsidR="00DF1883">
        <w:rPr>
          <w:b/>
          <w:color w:val="FF0000"/>
          <w:sz w:val="16"/>
          <w:szCs w:val="16"/>
        </w:rPr>
        <w:t xml:space="preserve"> </w:t>
      </w:r>
      <w:r>
        <w:rPr>
          <w:b/>
          <w:color w:val="FF0000"/>
          <w:sz w:val="16"/>
          <w:szCs w:val="16"/>
        </w:rPr>
        <w:t xml:space="preserve">of </w:t>
      </w:r>
      <w:r w:rsidR="002E3E40">
        <w:rPr>
          <w:b/>
          <w:color w:val="FF0000"/>
          <w:sz w:val="16"/>
          <w:szCs w:val="16"/>
        </w:rPr>
        <w:t>this pricing supplement</w:t>
      </w:r>
      <w:r w:rsidRPr="00C23812">
        <w:rPr>
          <w:color w:val="FF0000"/>
          <w:sz w:val="16"/>
          <w:szCs w:val="16"/>
        </w:rPr>
        <w:t>.</w:t>
      </w:r>
    </w:p>
    <w:p w:rsidR="00544B5E" w:rsidRDefault="000A7489" w:rsidP="006B0B8C">
      <w:pPr>
        <w:pStyle w:val="Bodytextbold"/>
        <w:spacing w:before="60" w:after="60"/>
        <w:jc w:val="both"/>
        <w:rPr>
          <w:sz w:val="16"/>
          <w:szCs w:val="16"/>
        </w:rPr>
      </w:pPr>
      <w:r>
        <w:rPr>
          <w:sz w:val="16"/>
          <w:szCs w:val="16"/>
        </w:rPr>
        <w:t>The Notes will not be listed on any U</w:t>
      </w:r>
      <w:r w:rsidRPr="00C23812">
        <w:rPr>
          <w:b w:val="0"/>
          <w:sz w:val="16"/>
          <w:szCs w:val="16"/>
        </w:rPr>
        <w:t>.</w:t>
      </w:r>
      <w:r>
        <w:rPr>
          <w:sz w:val="16"/>
          <w:szCs w:val="16"/>
        </w:rPr>
        <w:t>S</w:t>
      </w:r>
      <w:r w:rsidRPr="00C23812">
        <w:rPr>
          <w:b w:val="0"/>
          <w:sz w:val="16"/>
          <w:szCs w:val="16"/>
        </w:rPr>
        <w:t>.</w:t>
      </w:r>
      <w:r>
        <w:rPr>
          <w:sz w:val="16"/>
          <w:szCs w:val="16"/>
        </w:rPr>
        <w:t xml:space="preserve"> securitie</w:t>
      </w:r>
      <w:r w:rsidR="00C23812">
        <w:rPr>
          <w:sz w:val="16"/>
          <w:szCs w:val="16"/>
        </w:rPr>
        <w:t>s exchange or quotation system</w:t>
      </w:r>
      <w:r w:rsidR="00C23812" w:rsidRPr="00C23812">
        <w:rPr>
          <w:b w:val="0"/>
          <w:sz w:val="16"/>
          <w:szCs w:val="16"/>
        </w:rPr>
        <w:t>.</w:t>
      </w:r>
      <w:r>
        <w:rPr>
          <w:sz w:val="16"/>
          <w:szCs w:val="16"/>
        </w:rPr>
        <w:t xml:space="preserve"> Neither the </w:t>
      </w:r>
      <w:r w:rsidR="0047392A">
        <w:rPr>
          <w:sz w:val="16"/>
          <w:szCs w:val="16"/>
        </w:rPr>
        <w:t xml:space="preserve">U.S. </w:t>
      </w:r>
      <w:r>
        <w:rPr>
          <w:sz w:val="16"/>
          <w:szCs w:val="16"/>
        </w:rPr>
        <w:t xml:space="preserve">Securities and Exchange Commission </w:t>
      </w:r>
      <w:r w:rsidR="0047392A">
        <w:rPr>
          <w:sz w:val="16"/>
          <w:szCs w:val="16"/>
        </w:rPr>
        <w:t xml:space="preserve">(the “SEC”) </w:t>
      </w:r>
      <w:r>
        <w:rPr>
          <w:sz w:val="16"/>
          <w:szCs w:val="16"/>
        </w:rPr>
        <w:t xml:space="preserve">nor any state securities commission has approved or disapproved of these </w:t>
      </w:r>
      <w:r w:rsidR="009A1CD9">
        <w:rPr>
          <w:sz w:val="16"/>
          <w:szCs w:val="16"/>
        </w:rPr>
        <w:t xml:space="preserve">Notes </w:t>
      </w:r>
      <w:r>
        <w:rPr>
          <w:sz w:val="16"/>
          <w:szCs w:val="16"/>
        </w:rPr>
        <w:t xml:space="preserve">or determined that </w:t>
      </w:r>
      <w:r w:rsidR="002E3E40">
        <w:rPr>
          <w:sz w:val="16"/>
          <w:szCs w:val="16"/>
        </w:rPr>
        <w:t>this pricing supplement</w:t>
      </w:r>
      <w:r>
        <w:rPr>
          <w:sz w:val="16"/>
          <w:szCs w:val="16"/>
        </w:rPr>
        <w:t xml:space="preserve"> is truthful or complete</w:t>
      </w:r>
      <w:r w:rsidRPr="00C23812">
        <w:rPr>
          <w:b w:val="0"/>
          <w:sz w:val="16"/>
          <w:szCs w:val="16"/>
        </w:rPr>
        <w:t>.</w:t>
      </w:r>
      <w:r>
        <w:rPr>
          <w:sz w:val="16"/>
          <w:szCs w:val="16"/>
        </w:rPr>
        <w:t xml:space="preserve"> Any representation to the contrary is a criminal offense</w:t>
      </w:r>
      <w:r w:rsidRPr="00C23812">
        <w:rPr>
          <w:b w:val="0"/>
          <w:sz w:val="16"/>
          <w:szCs w:val="16"/>
        </w:rPr>
        <w:t>.</w:t>
      </w:r>
    </w:p>
    <w:p w:rsidR="001479ED" w:rsidRDefault="000A7489" w:rsidP="006B0B8C">
      <w:pPr>
        <w:spacing w:before="60" w:after="60"/>
        <w:jc w:val="both"/>
        <w:rPr>
          <w:i/>
          <w:sz w:val="16"/>
          <w:szCs w:val="16"/>
        </w:rPr>
      </w:pPr>
      <w:r>
        <w:rPr>
          <w:i/>
          <w:sz w:val="16"/>
          <w:szCs w:val="16"/>
        </w:rPr>
        <w:t>The Notes constitute our unsecured and unsubordinated obligations</w:t>
      </w:r>
      <w:r w:rsidR="009A1CD9">
        <w:rPr>
          <w:i/>
          <w:sz w:val="16"/>
          <w:szCs w:val="16"/>
        </w:rPr>
        <w:t>. The Notes</w:t>
      </w:r>
      <w:r>
        <w:rPr>
          <w:i/>
          <w:sz w:val="16"/>
          <w:szCs w:val="16"/>
        </w:rPr>
        <w:t xml:space="preserve"> are not deposit liabilities of Barclays Bank PLC and are not </w:t>
      </w:r>
      <w:r w:rsidR="006F55AF">
        <w:rPr>
          <w:i/>
          <w:sz w:val="16"/>
          <w:szCs w:val="16"/>
        </w:rPr>
        <w:t>covered by the U</w:t>
      </w:r>
      <w:r w:rsidR="006F55AF" w:rsidRPr="00C23812">
        <w:rPr>
          <w:sz w:val="16"/>
          <w:szCs w:val="16"/>
        </w:rPr>
        <w:t>.</w:t>
      </w:r>
      <w:r w:rsidR="006F55AF">
        <w:rPr>
          <w:i/>
          <w:sz w:val="16"/>
          <w:szCs w:val="16"/>
        </w:rPr>
        <w:t>K</w:t>
      </w:r>
      <w:r w:rsidR="006F55AF" w:rsidRPr="00C23812">
        <w:rPr>
          <w:sz w:val="16"/>
          <w:szCs w:val="16"/>
        </w:rPr>
        <w:t>.</w:t>
      </w:r>
      <w:r w:rsidR="006F55AF">
        <w:rPr>
          <w:i/>
          <w:sz w:val="16"/>
          <w:szCs w:val="16"/>
        </w:rPr>
        <w:t xml:space="preserve"> Financial Services Compensation Scheme or </w:t>
      </w:r>
      <w:r>
        <w:rPr>
          <w:i/>
          <w:sz w:val="16"/>
          <w:szCs w:val="16"/>
        </w:rPr>
        <w:t>insured by the U</w:t>
      </w:r>
      <w:r w:rsidRPr="00C23812">
        <w:rPr>
          <w:sz w:val="16"/>
          <w:szCs w:val="16"/>
        </w:rPr>
        <w:t>.</w:t>
      </w:r>
      <w:r>
        <w:rPr>
          <w:i/>
          <w:sz w:val="16"/>
          <w:szCs w:val="16"/>
        </w:rPr>
        <w:t>S</w:t>
      </w:r>
      <w:r w:rsidRPr="00C23812">
        <w:rPr>
          <w:sz w:val="16"/>
          <w:szCs w:val="16"/>
        </w:rPr>
        <w:t>.</w:t>
      </w:r>
      <w:r>
        <w:rPr>
          <w:i/>
          <w:sz w:val="16"/>
          <w:szCs w:val="16"/>
        </w:rPr>
        <w:t xml:space="preserve"> Federal Deposit Insurance Corporation or any other governmental agency </w:t>
      </w:r>
      <w:r w:rsidR="009A1CD9">
        <w:rPr>
          <w:i/>
          <w:sz w:val="16"/>
          <w:szCs w:val="16"/>
        </w:rPr>
        <w:t xml:space="preserve">or deposit insurance agency </w:t>
      </w:r>
      <w:r>
        <w:rPr>
          <w:i/>
          <w:sz w:val="16"/>
          <w:szCs w:val="16"/>
        </w:rPr>
        <w:t>of the United States</w:t>
      </w:r>
      <w:r w:rsidRPr="00C23812">
        <w:rPr>
          <w:sz w:val="16"/>
          <w:szCs w:val="16"/>
        </w:rPr>
        <w:t>,</w:t>
      </w:r>
      <w:r>
        <w:rPr>
          <w:i/>
          <w:sz w:val="16"/>
          <w:szCs w:val="16"/>
        </w:rPr>
        <w:t xml:space="preserve"> the United Kingdom or any other jurisdiction</w:t>
      </w:r>
      <w:r w:rsidRPr="00C23812">
        <w:rPr>
          <w:sz w:val="16"/>
          <w:szCs w:val="16"/>
        </w:rPr>
        <w:t>.</w:t>
      </w:r>
    </w:p>
    <w:p w:rsidR="00544B5E" w:rsidRDefault="000A7489" w:rsidP="006B0B8C">
      <w:pPr>
        <w:spacing w:before="60" w:after="60"/>
        <w:jc w:val="both"/>
        <w:rPr>
          <w:b/>
          <w:i/>
          <w:sz w:val="16"/>
          <w:szCs w:val="16"/>
          <w:u w:val="single"/>
        </w:rPr>
      </w:pPr>
      <w:r>
        <w:br w:type="page"/>
      </w:r>
      <w:r>
        <w:rPr>
          <w:b/>
          <w:i/>
          <w:sz w:val="16"/>
          <w:szCs w:val="16"/>
          <w:u w:val="single"/>
        </w:rPr>
        <w:lastRenderedPageBreak/>
        <w:t xml:space="preserve">Terms of </w:t>
      </w:r>
      <w:r w:rsidR="00F25B03">
        <w:rPr>
          <w:b/>
          <w:i/>
          <w:sz w:val="16"/>
          <w:szCs w:val="16"/>
          <w:u w:val="single"/>
        </w:rPr>
        <w:t xml:space="preserve">the </w:t>
      </w:r>
      <w:r>
        <w:rPr>
          <w:b/>
          <w:i/>
          <w:sz w:val="16"/>
          <w:szCs w:val="16"/>
          <w:u w:val="single"/>
        </w:rPr>
        <w:t>Notes</w:t>
      </w:r>
      <w:r w:rsidRPr="00C23812">
        <w:rPr>
          <w:sz w:val="16"/>
          <w:szCs w:val="16"/>
          <w:u w:val="single"/>
        </w:rPr>
        <w:t>,</w:t>
      </w:r>
      <w:r>
        <w:rPr>
          <w:b/>
          <w:i/>
          <w:sz w:val="16"/>
          <w:szCs w:val="16"/>
          <w:u w:val="single"/>
        </w:rPr>
        <w:t xml:space="preserve"> Continued</w:t>
      </w:r>
    </w:p>
    <w:tbl>
      <w:tblPr>
        <w:tblW w:w="0" w:type="auto"/>
        <w:tblLook w:val="01E0" w:firstRow="1" w:lastRow="1" w:firstColumn="1" w:lastColumn="1" w:noHBand="0" w:noVBand="0"/>
      </w:tblPr>
      <w:tblGrid>
        <w:gridCol w:w="1966"/>
        <w:gridCol w:w="8791"/>
      </w:tblGrid>
      <w:tr w:rsidR="00C328DE" w:rsidTr="00C328DE">
        <w:tc>
          <w:tcPr>
            <w:tcW w:w="1966" w:type="dxa"/>
          </w:tcPr>
          <w:p w:rsidR="00C328DE" w:rsidRDefault="00C328DE" w:rsidP="00C328DE">
            <w:pPr>
              <w:pStyle w:val="BodyText1"/>
              <w:spacing w:after="40"/>
              <w:rPr>
                <w:sz w:val="16"/>
                <w:szCs w:val="16"/>
              </w:rPr>
            </w:pPr>
            <w:r>
              <w:rPr>
                <w:sz w:val="16"/>
                <w:szCs w:val="16"/>
              </w:rPr>
              <w:t>Upside Leverage Factor</w:t>
            </w:r>
            <w:r w:rsidRPr="004E64BE">
              <w:rPr>
                <w:sz w:val="16"/>
                <w:szCs w:val="16"/>
              </w:rPr>
              <w:t>:</w:t>
            </w:r>
            <w:r>
              <w:rPr>
                <w:sz w:val="16"/>
                <w:szCs w:val="16"/>
              </w:rPr>
              <w:t>**</w:t>
            </w:r>
          </w:p>
        </w:tc>
        <w:tc>
          <w:tcPr>
            <w:tcW w:w="8791" w:type="dxa"/>
          </w:tcPr>
          <w:p w:rsidR="00C328DE" w:rsidRDefault="00C328DE">
            <w:pPr>
              <w:pStyle w:val="BodyText1"/>
              <w:spacing w:after="40"/>
              <w:jc w:val="both"/>
              <w:rPr>
                <w:sz w:val="16"/>
                <w:szCs w:val="16"/>
              </w:rPr>
            </w:pPr>
            <w:r>
              <w:rPr>
                <w:color w:val="000000"/>
                <w:sz w:val="16"/>
                <w:szCs w:val="16"/>
              </w:rPr>
              <w:t>[</w:t>
            </w:r>
            <w:r w:rsidR="007C5E04">
              <w:rPr>
                <w:color w:val="000000"/>
                <w:sz w:val="16"/>
                <w:szCs w:val="16"/>
              </w:rPr>
              <w:t>2.60</w:t>
            </w:r>
            <w:r w:rsidR="00AE6381">
              <w:rPr>
                <w:color w:val="000000"/>
                <w:sz w:val="16"/>
                <w:szCs w:val="16"/>
              </w:rPr>
              <w:t xml:space="preserve"> </w:t>
            </w:r>
            <w:r w:rsidR="007C5E04">
              <w:rPr>
                <w:color w:val="000000"/>
                <w:sz w:val="16"/>
                <w:szCs w:val="16"/>
              </w:rPr>
              <w:t>–</w:t>
            </w:r>
            <w:r>
              <w:rPr>
                <w:color w:val="000000"/>
                <w:sz w:val="16"/>
                <w:szCs w:val="16"/>
              </w:rPr>
              <w:t xml:space="preserve"> </w:t>
            </w:r>
            <w:r w:rsidR="007C5E04">
              <w:rPr>
                <w:color w:val="000000"/>
                <w:sz w:val="16"/>
                <w:szCs w:val="16"/>
              </w:rPr>
              <w:t>2.80</w:t>
            </w:r>
            <w:r>
              <w:rPr>
                <w:color w:val="000000"/>
                <w:sz w:val="16"/>
                <w:szCs w:val="16"/>
              </w:rPr>
              <w:t>]</w:t>
            </w:r>
          </w:p>
        </w:tc>
      </w:tr>
      <w:tr w:rsidR="00C328DE" w:rsidTr="00C328DE">
        <w:tc>
          <w:tcPr>
            <w:tcW w:w="1966" w:type="dxa"/>
          </w:tcPr>
          <w:p w:rsidR="00C328DE" w:rsidRDefault="00C328DE" w:rsidP="00C328DE">
            <w:pPr>
              <w:pStyle w:val="BodyText1"/>
              <w:spacing w:after="40"/>
              <w:rPr>
                <w:sz w:val="16"/>
                <w:szCs w:val="16"/>
              </w:rPr>
            </w:pPr>
            <w:r>
              <w:rPr>
                <w:sz w:val="16"/>
                <w:szCs w:val="16"/>
              </w:rPr>
              <w:t>Initial Value:</w:t>
            </w:r>
          </w:p>
        </w:tc>
        <w:tc>
          <w:tcPr>
            <w:tcW w:w="8791" w:type="dxa"/>
          </w:tcPr>
          <w:p w:rsidR="00C328DE" w:rsidRDefault="00C328DE" w:rsidP="00CC2AF3">
            <w:pPr>
              <w:pStyle w:val="BodyText1"/>
              <w:spacing w:after="40"/>
              <w:jc w:val="both"/>
              <w:rPr>
                <w:sz w:val="16"/>
                <w:szCs w:val="16"/>
              </w:rPr>
            </w:pPr>
            <w:r>
              <w:rPr>
                <w:sz w:val="16"/>
                <w:szCs w:val="16"/>
              </w:rPr>
              <w:t>With respect to each Reference Asset, the Closing Value on the Initial Valuation Date, as set forth in the table above</w:t>
            </w:r>
          </w:p>
        </w:tc>
      </w:tr>
      <w:tr w:rsidR="00C328DE" w:rsidTr="00C328DE">
        <w:tc>
          <w:tcPr>
            <w:tcW w:w="1966" w:type="dxa"/>
          </w:tcPr>
          <w:p w:rsidR="00C328DE" w:rsidRDefault="0022262B" w:rsidP="00C328DE">
            <w:pPr>
              <w:pStyle w:val="BodyText1"/>
              <w:spacing w:after="40"/>
              <w:rPr>
                <w:sz w:val="16"/>
                <w:szCs w:val="16"/>
              </w:rPr>
            </w:pPr>
            <w:r>
              <w:rPr>
                <w:sz w:val="16"/>
                <w:szCs w:val="16"/>
              </w:rPr>
              <w:t xml:space="preserve">Barrier </w:t>
            </w:r>
            <w:r w:rsidR="00C328DE">
              <w:rPr>
                <w:sz w:val="16"/>
                <w:szCs w:val="16"/>
              </w:rPr>
              <w:t>Value:</w:t>
            </w:r>
          </w:p>
        </w:tc>
        <w:tc>
          <w:tcPr>
            <w:tcW w:w="8791" w:type="dxa"/>
          </w:tcPr>
          <w:p w:rsidR="00C328DE" w:rsidRDefault="00C328DE" w:rsidP="00C328DE">
            <w:pPr>
              <w:pStyle w:val="BodyText1"/>
              <w:spacing w:after="40"/>
              <w:jc w:val="both"/>
              <w:rPr>
                <w:sz w:val="16"/>
                <w:szCs w:val="16"/>
              </w:rPr>
            </w:pPr>
            <w:r>
              <w:rPr>
                <w:sz w:val="16"/>
                <w:szCs w:val="16"/>
              </w:rPr>
              <w:t>With respect to each Reference Asset, 70.00% of its Initial Value (rounded to two decimal places)</w:t>
            </w:r>
          </w:p>
        </w:tc>
      </w:tr>
      <w:tr w:rsidR="00C328DE" w:rsidTr="00C328DE">
        <w:tc>
          <w:tcPr>
            <w:tcW w:w="1966" w:type="dxa"/>
          </w:tcPr>
          <w:p w:rsidR="00C328DE" w:rsidRDefault="00C328DE" w:rsidP="00C328DE">
            <w:pPr>
              <w:pStyle w:val="BodyText1"/>
              <w:spacing w:after="40"/>
              <w:rPr>
                <w:sz w:val="16"/>
                <w:szCs w:val="16"/>
              </w:rPr>
            </w:pPr>
            <w:r>
              <w:rPr>
                <w:sz w:val="16"/>
                <w:szCs w:val="16"/>
              </w:rPr>
              <w:t>Final Value:</w:t>
            </w:r>
          </w:p>
        </w:tc>
        <w:tc>
          <w:tcPr>
            <w:tcW w:w="8791" w:type="dxa"/>
          </w:tcPr>
          <w:p w:rsidR="00C328DE" w:rsidRDefault="00C328DE" w:rsidP="00CC2AF3">
            <w:pPr>
              <w:pStyle w:val="BodyText1"/>
              <w:spacing w:after="40"/>
              <w:jc w:val="both"/>
              <w:rPr>
                <w:sz w:val="16"/>
                <w:szCs w:val="16"/>
              </w:rPr>
            </w:pPr>
            <w:r>
              <w:rPr>
                <w:sz w:val="16"/>
                <w:szCs w:val="16"/>
              </w:rPr>
              <w:t xml:space="preserve">With respect to each Reference Asset, the Closing Value on the Final Valuation Date </w:t>
            </w:r>
          </w:p>
        </w:tc>
      </w:tr>
      <w:tr w:rsidR="00123239" w:rsidTr="00C328DE">
        <w:tc>
          <w:tcPr>
            <w:tcW w:w="1966" w:type="dxa"/>
          </w:tcPr>
          <w:p w:rsidR="00123239" w:rsidRDefault="000A2F32" w:rsidP="0035793C">
            <w:pPr>
              <w:pStyle w:val="BodyText1"/>
              <w:spacing w:after="40"/>
              <w:rPr>
                <w:sz w:val="16"/>
                <w:szCs w:val="16"/>
              </w:rPr>
            </w:pPr>
            <w:r>
              <w:rPr>
                <w:sz w:val="16"/>
                <w:szCs w:val="16"/>
              </w:rPr>
              <w:t xml:space="preserve">Reference Asset </w:t>
            </w:r>
            <w:r w:rsidR="00123239">
              <w:rPr>
                <w:sz w:val="16"/>
                <w:szCs w:val="16"/>
              </w:rPr>
              <w:t>Return:</w:t>
            </w:r>
          </w:p>
        </w:tc>
        <w:tc>
          <w:tcPr>
            <w:tcW w:w="8791" w:type="dxa"/>
          </w:tcPr>
          <w:p w:rsidR="00123239" w:rsidRDefault="00123239" w:rsidP="00123239">
            <w:pPr>
              <w:pStyle w:val="BodyText1"/>
              <w:spacing w:after="20"/>
              <w:jc w:val="both"/>
              <w:rPr>
                <w:sz w:val="16"/>
                <w:szCs w:val="16"/>
              </w:rPr>
            </w:pPr>
            <w:r>
              <w:rPr>
                <w:sz w:val="16"/>
                <w:szCs w:val="16"/>
              </w:rPr>
              <w:t xml:space="preserve">With respect to </w:t>
            </w:r>
            <w:r w:rsidR="00D352D0">
              <w:rPr>
                <w:sz w:val="16"/>
                <w:szCs w:val="16"/>
              </w:rPr>
              <w:t xml:space="preserve">each </w:t>
            </w:r>
            <w:r w:rsidR="000A2F32">
              <w:rPr>
                <w:sz w:val="16"/>
                <w:szCs w:val="16"/>
              </w:rPr>
              <w:t>Reference Asset</w:t>
            </w:r>
            <w:r>
              <w:rPr>
                <w:sz w:val="16"/>
                <w:szCs w:val="16"/>
              </w:rPr>
              <w:t xml:space="preserve">, </w:t>
            </w:r>
            <w:r w:rsidR="00EF2655">
              <w:rPr>
                <w:sz w:val="16"/>
                <w:szCs w:val="16"/>
              </w:rPr>
              <w:t>an amount</w:t>
            </w:r>
            <w:r>
              <w:rPr>
                <w:sz w:val="16"/>
                <w:szCs w:val="16"/>
              </w:rPr>
              <w:t xml:space="preserve"> calculated as follows:</w:t>
            </w:r>
          </w:p>
          <w:p w:rsidR="00123239" w:rsidRDefault="00123239" w:rsidP="005360DA">
            <w:pPr>
              <w:pStyle w:val="BodyText1"/>
              <w:spacing w:before="80" w:after="80"/>
              <w:jc w:val="center"/>
              <w:rPr>
                <w:sz w:val="16"/>
                <w:szCs w:val="16"/>
              </w:rPr>
            </w:pPr>
            <w:r>
              <w:rPr>
                <w:sz w:val="16"/>
                <w:szCs w:val="16"/>
                <w:u w:val="single"/>
              </w:rPr>
              <w:t xml:space="preserve">Final </w:t>
            </w:r>
            <w:r w:rsidR="00B9325C">
              <w:rPr>
                <w:sz w:val="16"/>
                <w:szCs w:val="16"/>
                <w:u w:val="single"/>
              </w:rPr>
              <w:t>Value</w:t>
            </w:r>
            <w:r w:rsidR="005360DA">
              <w:rPr>
                <w:sz w:val="16"/>
                <w:szCs w:val="16"/>
                <w:u w:val="single"/>
              </w:rPr>
              <w:t xml:space="preserve"> </w:t>
            </w:r>
            <w:r>
              <w:rPr>
                <w:sz w:val="16"/>
                <w:szCs w:val="16"/>
                <w:u w:val="single"/>
              </w:rPr>
              <w:t xml:space="preserve">– Initial </w:t>
            </w:r>
            <w:r w:rsidR="00B9325C">
              <w:rPr>
                <w:sz w:val="16"/>
                <w:szCs w:val="16"/>
                <w:u w:val="single"/>
              </w:rPr>
              <w:t>Value</w:t>
            </w:r>
            <w:r>
              <w:rPr>
                <w:sz w:val="16"/>
                <w:szCs w:val="16"/>
              </w:rPr>
              <w:br/>
              <w:t xml:space="preserve">Initial </w:t>
            </w:r>
            <w:r w:rsidR="00B9325C">
              <w:rPr>
                <w:sz w:val="16"/>
                <w:szCs w:val="16"/>
              </w:rPr>
              <w:t>Value</w:t>
            </w:r>
          </w:p>
        </w:tc>
      </w:tr>
      <w:tr w:rsidR="00C328DE" w:rsidTr="00C328DE">
        <w:tc>
          <w:tcPr>
            <w:tcW w:w="1966" w:type="dxa"/>
          </w:tcPr>
          <w:p w:rsidR="00C328DE" w:rsidRDefault="00C328DE" w:rsidP="00C328DE">
            <w:pPr>
              <w:pStyle w:val="BodyText1"/>
              <w:spacing w:after="40"/>
              <w:rPr>
                <w:sz w:val="16"/>
                <w:szCs w:val="16"/>
              </w:rPr>
            </w:pPr>
            <w:r>
              <w:rPr>
                <w:sz w:val="16"/>
                <w:szCs w:val="16"/>
              </w:rPr>
              <w:t>Least Performing Reference Asset:</w:t>
            </w:r>
          </w:p>
        </w:tc>
        <w:tc>
          <w:tcPr>
            <w:tcW w:w="8791" w:type="dxa"/>
          </w:tcPr>
          <w:p w:rsidR="00C328DE" w:rsidRDefault="00C328DE">
            <w:pPr>
              <w:pStyle w:val="BodyText1"/>
              <w:spacing w:after="40"/>
              <w:jc w:val="both"/>
              <w:rPr>
                <w:sz w:val="16"/>
                <w:szCs w:val="16"/>
                <w:lang w:val="en-US"/>
              </w:rPr>
            </w:pPr>
            <w:r>
              <w:rPr>
                <w:sz w:val="16"/>
                <w:szCs w:val="16"/>
              </w:rPr>
              <w:t>The Reference Asset with the lowest Reference Asset Return, as calculated in the manner set forth above</w:t>
            </w:r>
          </w:p>
        </w:tc>
      </w:tr>
      <w:tr w:rsidR="001D5931" w:rsidTr="00C328DE">
        <w:tc>
          <w:tcPr>
            <w:tcW w:w="1966" w:type="dxa"/>
          </w:tcPr>
          <w:p w:rsidR="001D5931" w:rsidRDefault="001D5931" w:rsidP="005360DA">
            <w:pPr>
              <w:pStyle w:val="BodyText1"/>
              <w:spacing w:after="40"/>
              <w:rPr>
                <w:sz w:val="16"/>
                <w:szCs w:val="16"/>
              </w:rPr>
            </w:pPr>
            <w:r>
              <w:rPr>
                <w:sz w:val="16"/>
                <w:szCs w:val="16"/>
              </w:rPr>
              <w:t xml:space="preserve">Closing </w:t>
            </w:r>
            <w:r w:rsidR="00B9325C">
              <w:rPr>
                <w:sz w:val="16"/>
                <w:szCs w:val="16"/>
              </w:rPr>
              <w:t>Value</w:t>
            </w:r>
            <w:r>
              <w:rPr>
                <w:sz w:val="16"/>
                <w:szCs w:val="16"/>
              </w:rPr>
              <w:t>:</w:t>
            </w:r>
          </w:p>
        </w:tc>
        <w:tc>
          <w:tcPr>
            <w:tcW w:w="8791" w:type="dxa"/>
          </w:tcPr>
          <w:p w:rsidR="00F85D78" w:rsidRDefault="005360DA">
            <w:pPr>
              <w:pStyle w:val="BodyText1"/>
              <w:spacing w:after="40"/>
              <w:jc w:val="both"/>
              <w:rPr>
                <w:sz w:val="16"/>
                <w:szCs w:val="16"/>
              </w:rPr>
            </w:pPr>
            <w:r>
              <w:rPr>
                <w:sz w:val="16"/>
                <w:szCs w:val="16"/>
                <w:lang w:val="en-US"/>
              </w:rPr>
              <w:t xml:space="preserve">The term “Closing </w:t>
            </w:r>
            <w:r w:rsidR="00B9325C">
              <w:rPr>
                <w:sz w:val="16"/>
                <w:szCs w:val="16"/>
                <w:lang w:val="en-US"/>
              </w:rPr>
              <w:t>Value</w:t>
            </w:r>
            <w:r>
              <w:rPr>
                <w:sz w:val="16"/>
                <w:szCs w:val="16"/>
                <w:lang w:val="en-US"/>
              </w:rPr>
              <w:t xml:space="preserve">” </w:t>
            </w:r>
            <w:r w:rsidR="00913B34" w:rsidRPr="00913B34">
              <w:rPr>
                <w:sz w:val="16"/>
                <w:szCs w:val="16"/>
                <w:lang w:val="en-US"/>
              </w:rPr>
              <w:t xml:space="preserve">means the closing </w:t>
            </w:r>
            <w:r w:rsidR="00913B34">
              <w:rPr>
                <w:sz w:val="16"/>
                <w:szCs w:val="16"/>
                <w:lang w:val="en-US"/>
              </w:rPr>
              <w:t>price</w:t>
            </w:r>
            <w:r w:rsidR="00913B34" w:rsidRPr="00913B34">
              <w:rPr>
                <w:sz w:val="16"/>
                <w:szCs w:val="16"/>
                <w:lang w:val="en-US"/>
              </w:rPr>
              <w:t xml:space="preserve"> of</w:t>
            </w:r>
            <w:r w:rsidR="003B1817">
              <w:rPr>
                <w:sz w:val="16"/>
                <w:szCs w:val="16"/>
                <w:lang w:val="en-US"/>
              </w:rPr>
              <w:t xml:space="preserve"> one share of</w:t>
            </w:r>
            <w:r w:rsidR="00913B34" w:rsidRPr="00913B34">
              <w:rPr>
                <w:sz w:val="16"/>
                <w:szCs w:val="16"/>
                <w:lang w:val="en-US"/>
              </w:rPr>
              <w:t xml:space="preserve"> the applicable Reference Asset, as further described</w:t>
            </w:r>
            <w:r w:rsidR="00913B34" w:rsidRPr="00913B34" w:rsidDel="00913B34">
              <w:rPr>
                <w:sz w:val="16"/>
                <w:szCs w:val="16"/>
                <w:lang w:val="en-US"/>
              </w:rPr>
              <w:t xml:space="preserve"> </w:t>
            </w:r>
            <w:r>
              <w:rPr>
                <w:sz w:val="16"/>
                <w:szCs w:val="16"/>
                <w:lang w:val="en-US"/>
              </w:rPr>
              <w:t>under “Reference Assets—Exchange-Traded Funds—Special Calculation Provisions” in the prospectus supplement</w:t>
            </w:r>
          </w:p>
        </w:tc>
      </w:tr>
      <w:tr w:rsidR="002C27FC" w:rsidTr="00C328DE">
        <w:tc>
          <w:tcPr>
            <w:tcW w:w="1966" w:type="dxa"/>
          </w:tcPr>
          <w:p w:rsidR="002C27FC" w:rsidRDefault="002C27FC" w:rsidP="0035793C">
            <w:pPr>
              <w:pStyle w:val="BodyText1"/>
              <w:spacing w:after="40"/>
              <w:rPr>
                <w:sz w:val="16"/>
                <w:szCs w:val="16"/>
              </w:rPr>
            </w:pPr>
            <w:r>
              <w:rPr>
                <w:sz w:val="16"/>
                <w:szCs w:val="16"/>
              </w:rPr>
              <w:t>Calculation Agent:</w:t>
            </w:r>
          </w:p>
        </w:tc>
        <w:tc>
          <w:tcPr>
            <w:tcW w:w="8791" w:type="dxa"/>
          </w:tcPr>
          <w:p w:rsidR="00570720" w:rsidRDefault="002C27FC" w:rsidP="0035793C">
            <w:pPr>
              <w:pStyle w:val="BodyText1"/>
              <w:spacing w:after="40"/>
              <w:rPr>
                <w:sz w:val="16"/>
                <w:szCs w:val="16"/>
              </w:rPr>
            </w:pPr>
            <w:r>
              <w:rPr>
                <w:sz w:val="16"/>
                <w:szCs w:val="16"/>
              </w:rPr>
              <w:t>Barclays Bank PLC</w:t>
            </w:r>
          </w:p>
        </w:tc>
      </w:tr>
      <w:tr w:rsidR="002C27FC" w:rsidTr="00C328DE">
        <w:trPr>
          <w:trHeight w:val="276"/>
        </w:trPr>
        <w:tc>
          <w:tcPr>
            <w:tcW w:w="1966" w:type="dxa"/>
          </w:tcPr>
          <w:p w:rsidR="002C27FC" w:rsidRDefault="002C27FC" w:rsidP="0035793C">
            <w:pPr>
              <w:pStyle w:val="BodyText1"/>
              <w:spacing w:after="40"/>
              <w:rPr>
                <w:sz w:val="16"/>
                <w:szCs w:val="16"/>
              </w:rPr>
            </w:pPr>
            <w:r>
              <w:rPr>
                <w:sz w:val="16"/>
                <w:szCs w:val="16"/>
              </w:rPr>
              <w:t>CUSIP</w:t>
            </w:r>
            <w:r w:rsidR="00C23812">
              <w:rPr>
                <w:sz w:val="16"/>
                <w:szCs w:val="16"/>
              </w:rPr>
              <w:t xml:space="preserve"> </w:t>
            </w:r>
            <w:r>
              <w:rPr>
                <w:sz w:val="16"/>
                <w:szCs w:val="16"/>
              </w:rPr>
              <w:t>/</w:t>
            </w:r>
            <w:r w:rsidR="00C23812">
              <w:rPr>
                <w:sz w:val="16"/>
                <w:szCs w:val="16"/>
              </w:rPr>
              <w:t xml:space="preserve"> </w:t>
            </w:r>
            <w:r>
              <w:rPr>
                <w:sz w:val="16"/>
                <w:szCs w:val="16"/>
              </w:rPr>
              <w:t>ISIN:</w:t>
            </w:r>
          </w:p>
        </w:tc>
        <w:tc>
          <w:tcPr>
            <w:tcW w:w="8791" w:type="dxa"/>
          </w:tcPr>
          <w:p w:rsidR="00946932" w:rsidRDefault="007C5E04" w:rsidP="00CC2AF3">
            <w:pPr>
              <w:pStyle w:val="BodyText1"/>
              <w:spacing w:after="40"/>
              <w:rPr>
                <w:sz w:val="16"/>
                <w:szCs w:val="16"/>
              </w:rPr>
            </w:pPr>
            <w:r w:rsidRPr="007C5E04">
              <w:rPr>
                <w:sz w:val="16"/>
                <w:szCs w:val="16"/>
              </w:rPr>
              <w:t>06747NZX5</w:t>
            </w:r>
            <w:r w:rsidR="00CC2AF3">
              <w:rPr>
                <w:sz w:val="16"/>
                <w:szCs w:val="16"/>
              </w:rPr>
              <w:t xml:space="preserve"> </w:t>
            </w:r>
            <w:r w:rsidR="000D1DB2" w:rsidRPr="000D1DB2">
              <w:rPr>
                <w:sz w:val="16"/>
                <w:szCs w:val="16"/>
              </w:rPr>
              <w:t xml:space="preserve">/ </w:t>
            </w:r>
            <w:r w:rsidRPr="007C5E04">
              <w:rPr>
                <w:sz w:val="16"/>
                <w:szCs w:val="16"/>
              </w:rPr>
              <w:t>US06747NZX55</w:t>
            </w:r>
          </w:p>
        </w:tc>
      </w:tr>
    </w:tbl>
    <w:p w:rsidR="002563A8" w:rsidRDefault="000A7489" w:rsidP="00C23812">
      <w:pPr>
        <w:tabs>
          <w:tab w:val="left" w:pos="360"/>
        </w:tabs>
        <w:spacing w:before="140" w:after="120"/>
        <w:ind w:left="360" w:hanging="360"/>
        <w:jc w:val="both"/>
        <w:rPr>
          <w:b/>
          <w:sz w:val="16"/>
          <w:szCs w:val="16"/>
        </w:rPr>
      </w:pPr>
      <w:r w:rsidRPr="00C23812">
        <w:rPr>
          <w:sz w:val="16"/>
          <w:szCs w:val="16"/>
        </w:rPr>
        <w:t>*</w:t>
      </w:r>
      <w:r w:rsidRPr="00EE41DB">
        <w:rPr>
          <w:b/>
          <w:sz w:val="16"/>
          <w:szCs w:val="16"/>
        </w:rPr>
        <w:tab/>
        <w:t>Subject to postponement</w:t>
      </w:r>
      <w:r w:rsidR="006A21E2" w:rsidRPr="00C23812">
        <w:rPr>
          <w:sz w:val="16"/>
          <w:szCs w:val="16"/>
        </w:rPr>
        <w:t>,</w:t>
      </w:r>
      <w:r w:rsidR="006A21E2" w:rsidRPr="00EE41DB">
        <w:rPr>
          <w:b/>
          <w:sz w:val="16"/>
          <w:szCs w:val="16"/>
        </w:rPr>
        <w:t xml:space="preserve"> </w:t>
      </w:r>
      <w:r w:rsidRPr="00EE41DB">
        <w:rPr>
          <w:b/>
          <w:sz w:val="16"/>
          <w:szCs w:val="16"/>
        </w:rPr>
        <w:t xml:space="preserve">as described under </w:t>
      </w:r>
      <w:r w:rsidR="006A21E2" w:rsidRPr="00C23812">
        <w:rPr>
          <w:sz w:val="16"/>
          <w:szCs w:val="16"/>
        </w:rPr>
        <w:t>“</w:t>
      </w:r>
      <w:r w:rsidR="0008324C" w:rsidRPr="00EE41DB">
        <w:rPr>
          <w:b/>
          <w:sz w:val="16"/>
          <w:szCs w:val="16"/>
        </w:rPr>
        <w:t>Additional Terms of the Notes</w:t>
      </w:r>
      <w:r w:rsidRPr="00C23812">
        <w:rPr>
          <w:sz w:val="16"/>
          <w:szCs w:val="16"/>
        </w:rPr>
        <w:t>”</w:t>
      </w:r>
      <w:r w:rsidRPr="00EE41DB">
        <w:rPr>
          <w:b/>
          <w:sz w:val="16"/>
          <w:szCs w:val="16"/>
        </w:rPr>
        <w:t xml:space="preserve"> in </w:t>
      </w:r>
      <w:r w:rsidR="002E3E40">
        <w:rPr>
          <w:b/>
          <w:sz w:val="16"/>
          <w:szCs w:val="16"/>
        </w:rPr>
        <w:t>this pricing supplement</w:t>
      </w:r>
    </w:p>
    <w:p w:rsidR="00CF2371" w:rsidRDefault="00CF2371" w:rsidP="00CF2371">
      <w:pPr>
        <w:tabs>
          <w:tab w:val="left" w:pos="360"/>
        </w:tabs>
        <w:spacing w:before="140" w:after="120"/>
        <w:ind w:left="360" w:hanging="360"/>
        <w:jc w:val="both"/>
        <w:rPr>
          <w:b/>
          <w:sz w:val="16"/>
          <w:szCs w:val="16"/>
        </w:rPr>
      </w:pPr>
      <w:r>
        <w:rPr>
          <w:sz w:val="16"/>
          <w:szCs w:val="16"/>
        </w:rPr>
        <w:t>**</w:t>
      </w:r>
      <w:r w:rsidRPr="00EE41DB">
        <w:rPr>
          <w:b/>
          <w:sz w:val="16"/>
          <w:szCs w:val="16"/>
        </w:rPr>
        <w:tab/>
      </w:r>
      <w:r>
        <w:rPr>
          <w:b/>
          <w:sz w:val="16"/>
          <w:szCs w:val="16"/>
        </w:rPr>
        <w:t xml:space="preserve">The actual Upside Leverage Factor will be determined on the Initial Valuation Date and will not be less than </w:t>
      </w:r>
      <w:r w:rsidR="007C5E04">
        <w:rPr>
          <w:b/>
          <w:sz w:val="16"/>
          <w:szCs w:val="16"/>
        </w:rPr>
        <w:t>2.60</w:t>
      </w:r>
    </w:p>
    <w:p w:rsidR="00CF2371" w:rsidRDefault="00CF2371" w:rsidP="00253D30">
      <w:pPr>
        <w:tabs>
          <w:tab w:val="left" w:pos="360"/>
        </w:tabs>
        <w:spacing w:before="140" w:after="120"/>
        <w:jc w:val="both"/>
        <w:rPr>
          <w:b/>
          <w:sz w:val="16"/>
          <w:szCs w:val="16"/>
        </w:rPr>
      </w:pPr>
    </w:p>
    <w:p w:rsidR="008678CA" w:rsidRDefault="000A7489">
      <w:pPr>
        <w:pStyle w:val="BodyText1"/>
        <w:spacing w:before="120"/>
        <w:jc w:val="center"/>
      </w:pPr>
      <w:r>
        <w:rPr>
          <w:noProof/>
          <w:lang w:val="en-US" w:eastAsia="en-US"/>
        </w:rPr>
        <w:drawing>
          <wp:inline distT="0" distB="0" distL="0" distR="0">
            <wp:extent cx="1550670" cy="373380"/>
            <wp:effectExtent l="0" t="0" r="0" b="7620"/>
            <wp:docPr id="2" name="Picture 2" descr="barclays PL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rclays PLC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0670" cy="373380"/>
                    </a:xfrm>
                    <a:prstGeom prst="rect">
                      <a:avLst/>
                    </a:prstGeom>
                    <a:noFill/>
                    <a:ln>
                      <a:noFill/>
                    </a:ln>
                  </pic:spPr>
                </pic:pic>
              </a:graphicData>
            </a:graphic>
          </wp:inline>
        </w:drawing>
      </w:r>
    </w:p>
    <w:p w:rsidR="000941C2" w:rsidRPr="006F55AF" w:rsidRDefault="000A7489" w:rsidP="0010195C">
      <w:pPr>
        <w:pStyle w:val="HeadingA"/>
      </w:pPr>
      <w:r>
        <w:br w:type="page"/>
      </w:r>
      <w:r w:rsidR="000941C2" w:rsidRPr="006F55AF">
        <w:lastRenderedPageBreak/>
        <w:t xml:space="preserve">ADDITIONAL </w:t>
      </w:r>
      <w:r w:rsidR="0008324C" w:rsidRPr="006F55AF">
        <w:t>DOCUMENTS RELATED</w:t>
      </w:r>
      <w:r w:rsidR="000771B8">
        <w:t xml:space="preserve"> TO THE OFFERING OF THE NOTES</w:t>
      </w:r>
    </w:p>
    <w:p w:rsidR="001D776E" w:rsidRDefault="000771B8" w:rsidP="001D776E">
      <w:pPr>
        <w:pStyle w:val="BodyText1"/>
        <w:jc w:val="both"/>
        <w:rPr>
          <w:szCs w:val="20"/>
          <w:lang w:val="en-US" w:eastAsia="ja-JP"/>
        </w:rPr>
      </w:pPr>
      <w:r>
        <w:rPr>
          <w:szCs w:val="20"/>
          <w:lang w:val="en-US" w:eastAsia="ja-JP"/>
        </w:rPr>
        <w:t xml:space="preserve">You should read </w:t>
      </w:r>
      <w:r w:rsidR="002E3E40">
        <w:rPr>
          <w:szCs w:val="20"/>
          <w:lang w:val="en-US" w:eastAsia="ja-JP"/>
        </w:rPr>
        <w:t>this pricing supplement</w:t>
      </w:r>
      <w:r>
        <w:rPr>
          <w:szCs w:val="20"/>
          <w:lang w:val="en-US" w:eastAsia="ja-JP"/>
        </w:rPr>
        <w:t xml:space="preserve"> together with the prospectus dated </w:t>
      </w:r>
      <w:r w:rsidR="0069701C">
        <w:t>August 1, 2019</w:t>
      </w:r>
      <w:r>
        <w:rPr>
          <w:szCs w:val="20"/>
          <w:lang w:val="en-US" w:eastAsia="ja-JP"/>
        </w:rPr>
        <w:t xml:space="preserve">, as supplemented by the </w:t>
      </w:r>
      <w:r w:rsidR="00CC2AF3">
        <w:rPr>
          <w:szCs w:val="20"/>
          <w:lang w:val="en-US" w:eastAsia="ja-JP"/>
        </w:rPr>
        <w:t>documents listed below</w:t>
      </w:r>
      <w:r w:rsidR="00F25B03">
        <w:rPr>
          <w:szCs w:val="20"/>
          <w:lang w:val="en-US" w:eastAsia="ja-JP"/>
        </w:rPr>
        <w:t>,</w:t>
      </w:r>
      <w:r>
        <w:rPr>
          <w:szCs w:val="20"/>
          <w:lang w:val="en-US" w:eastAsia="ja-JP"/>
        </w:rPr>
        <w:t xml:space="preserve"> relating to our Global Medium-Term Notes, Series A, o</w:t>
      </w:r>
      <w:r w:rsidR="00C23812">
        <w:rPr>
          <w:szCs w:val="20"/>
          <w:lang w:val="en-US" w:eastAsia="ja-JP"/>
        </w:rPr>
        <w:t>f which these Notes are a part.</w:t>
      </w:r>
      <w:r>
        <w:rPr>
          <w:szCs w:val="20"/>
          <w:lang w:val="en-US" w:eastAsia="ja-JP"/>
        </w:rPr>
        <w:t xml:space="preserve"> </w:t>
      </w:r>
      <w:r w:rsidR="002E3E40">
        <w:rPr>
          <w:szCs w:val="20"/>
          <w:lang w:val="en-US" w:eastAsia="ja-JP"/>
        </w:rPr>
        <w:t>This pricing supplement</w:t>
      </w:r>
      <w:r>
        <w:rPr>
          <w:szCs w:val="20"/>
          <w:lang w:val="en-US" w:eastAsia="ja-JP"/>
        </w:rPr>
        <w:t>, together with the documents listed below, contains the terms of the Notes and supersedes all prior or contemporaneous oral statements as well as any other written materials including preliminary or indicative pricing terms, correspondence, trade ideas, structures for implementation, sample structures, brochures or other</w:t>
      </w:r>
      <w:r w:rsidR="00C23812">
        <w:rPr>
          <w:szCs w:val="20"/>
          <w:lang w:val="en-US" w:eastAsia="ja-JP"/>
        </w:rPr>
        <w:t xml:space="preserve"> educational materials of ours.</w:t>
      </w:r>
      <w:r>
        <w:rPr>
          <w:szCs w:val="20"/>
          <w:lang w:val="en-US" w:eastAsia="ja-JP"/>
        </w:rPr>
        <w:t xml:space="preserve"> You should carefully consider, among other things, the matters set forth under “Risk Factors” in the prospectus supplement and “Selected Risk Considerations” in </w:t>
      </w:r>
      <w:r w:rsidR="002E3E40">
        <w:rPr>
          <w:szCs w:val="20"/>
          <w:lang w:val="en-US" w:eastAsia="ja-JP"/>
        </w:rPr>
        <w:t>this pricing supplement</w:t>
      </w:r>
      <w:r>
        <w:rPr>
          <w:szCs w:val="20"/>
          <w:lang w:val="en-US" w:eastAsia="ja-JP"/>
        </w:rPr>
        <w:t>, as the Notes involve risks not associated wit</w:t>
      </w:r>
      <w:r w:rsidR="00C23812">
        <w:rPr>
          <w:szCs w:val="20"/>
          <w:lang w:val="en-US" w:eastAsia="ja-JP"/>
        </w:rPr>
        <w:t>h conventional debt securities.</w:t>
      </w:r>
      <w:r>
        <w:rPr>
          <w:szCs w:val="20"/>
          <w:lang w:val="en-US" w:eastAsia="ja-JP"/>
        </w:rPr>
        <w:t xml:space="preserve"> We urge you to consult your investment, legal, tax, accounting and other advisors before you invest in the Notes.</w:t>
      </w:r>
    </w:p>
    <w:p w:rsidR="000941C2" w:rsidRPr="006F55AF" w:rsidRDefault="000771B8" w:rsidP="000941C2">
      <w:pPr>
        <w:pStyle w:val="BodyText1"/>
        <w:jc w:val="both"/>
        <w:rPr>
          <w:szCs w:val="20"/>
          <w:lang w:val="en-US" w:eastAsia="ja-JP"/>
        </w:rPr>
      </w:pPr>
      <w:r>
        <w:rPr>
          <w:szCs w:val="20"/>
          <w:lang w:val="en-US" w:eastAsia="ja-JP"/>
        </w:rPr>
        <w:t xml:space="preserve">You may access these documents on the SEC website at www.sec.gov as follows (or if such address has changed, by reviewing our filings for the relevant date on the SEC website): </w:t>
      </w:r>
    </w:p>
    <w:p w:rsidR="00C14BBA" w:rsidRPr="002F48F8" w:rsidRDefault="00C14BBA" w:rsidP="00C14BBA">
      <w:pPr>
        <w:pStyle w:val="Bullet"/>
        <w:spacing w:after="0"/>
        <w:ind w:left="717" w:hanging="357"/>
        <w:contextualSpacing w:val="0"/>
        <w:rPr>
          <w:szCs w:val="20"/>
        </w:rPr>
      </w:pPr>
      <w:r>
        <w:rPr>
          <w:szCs w:val="20"/>
          <w:lang w:val="en-US" w:eastAsia="ja-JP"/>
        </w:rPr>
        <w:t xml:space="preserve">Prospectus dated </w:t>
      </w:r>
      <w:r>
        <w:t>August 1, 2019</w:t>
      </w:r>
      <w:r>
        <w:rPr>
          <w:szCs w:val="20"/>
          <w:lang w:val="en-US" w:eastAsia="ja-JP"/>
        </w:rPr>
        <w:t>:</w:t>
      </w:r>
    </w:p>
    <w:p w:rsidR="00C14BBA" w:rsidRPr="00FF5C57" w:rsidRDefault="00463611" w:rsidP="00C14BBA">
      <w:pPr>
        <w:pStyle w:val="ListParagraph"/>
        <w:spacing w:after="120"/>
        <w:rPr>
          <w:rStyle w:val="Hyperlink"/>
        </w:rPr>
      </w:pPr>
      <w:hyperlink r:id="rId11" w:history="1">
        <w:r w:rsidR="00C14BBA" w:rsidRPr="00D16BA2">
          <w:rPr>
            <w:rStyle w:val="Hyperlink"/>
          </w:rPr>
          <w:t>http://www.sec.gov/Archives/edgar/data/312070/000119312519210880/d756086d424b3.htm</w:t>
        </w:r>
      </w:hyperlink>
      <w:r w:rsidR="00C14BBA">
        <w:t xml:space="preserve"> </w:t>
      </w:r>
    </w:p>
    <w:p w:rsidR="00C14BBA" w:rsidRDefault="00C14BBA" w:rsidP="00C14BBA">
      <w:pPr>
        <w:pStyle w:val="Bullet"/>
        <w:spacing w:after="0"/>
        <w:ind w:left="717" w:hanging="357"/>
        <w:contextualSpacing w:val="0"/>
        <w:rPr>
          <w:szCs w:val="20"/>
          <w:lang w:val="en-US"/>
        </w:rPr>
      </w:pPr>
      <w:r w:rsidRPr="00FE4742">
        <w:rPr>
          <w:szCs w:val="20"/>
          <w:lang w:val="en-US" w:eastAsia="ja-JP"/>
        </w:rPr>
        <w:t>Prospectus</w:t>
      </w:r>
      <w:r w:rsidRPr="00FE4742">
        <w:rPr>
          <w:szCs w:val="20"/>
          <w:lang w:val="en-US"/>
        </w:rPr>
        <w:t xml:space="preserve"> Supplement dated </w:t>
      </w:r>
      <w:r>
        <w:rPr>
          <w:szCs w:val="20"/>
          <w:lang w:val="en-US"/>
        </w:rPr>
        <w:t>August 1, 2019</w:t>
      </w:r>
      <w:r w:rsidRPr="00FE4742">
        <w:rPr>
          <w:szCs w:val="20"/>
          <w:lang w:val="en-US"/>
        </w:rPr>
        <w:t>:</w:t>
      </w:r>
    </w:p>
    <w:p w:rsidR="00C14BBA" w:rsidRPr="00164C19" w:rsidRDefault="00463611" w:rsidP="00C14BBA">
      <w:pPr>
        <w:pStyle w:val="ListParagraph"/>
        <w:spacing w:after="120"/>
        <w:rPr>
          <w:u w:val="single"/>
        </w:rPr>
      </w:pPr>
      <w:hyperlink r:id="rId12" w:history="1">
        <w:r w:rsidR="00C14BBA" w:rsidRPr="00D16BA2">
          <w:rPr>
            <w:rStyle w:val="Hyperlink"/>
          </w:rPr>
          <w:t>http://www.sec.gov/Archives/edgar/data/312070/000095010319010190/dp110493_424b2-prosupp.htm</w:t>
        </w:r>
      </w:hyperlink>
      <w:r w:rsidR="00C14BBA">
        <w:t xml:space="preserve"> </w:t>
      </w:r>
    </w:p>
    <w:p w:rsidR="00C14BBA" w:rsidRDefault="00C14BBA" w:rsidP="00C14BBA">
      <w:pPr>
        <w:pStyle w:val="Bullet"/>
        <w:spacing w:after="0"/>
        <w:ind w:left="717" w:hanging="357"/>
        <w:contextualSpacing w:val="0"/>
        <w:rPr>
          <w:szCs w:val="20"/>
          <w:lang w:val="en-US"/>
        </w:rPr>
      </w:pPr>
      <w:r>
        <w:rPr>
          <w:szCs w:val="20"/>
          <w:lang w:val="en-US"/>
        </w:rPr>
        <w:t>Underlying</w:t>
      </w:r>
      <w:r w:rsidRPr="00FE4742">
        <w:rPr>
          <w:szCs w:val="20"/>
          <w:lang w:val="en-US"/>
        </w:rPr>
        <w:t xml:space="preserve"> </w:t>
      </w:r>
      <w:r w:rsidRPr="00FE4742">
        <w:rPr>
          <w:szCs w:val="20"/>
          <w:lang w:val="en-US" w:eastAsia="ja-JP"/>
        </w:rPr>
        <w:t>Supplement</w:t>
      </w:r>
      <w:r w:rsidRPr="00FE4742">
        <w:rPr>
          <w:szCs w:val="20"/>
          <w:lang w:val="en-US"/>
        </w:rPr>
        <w:t xml:space="preserve"> dated </w:t>
      </w:r>
      <w:r>
        <w:rPr>
          <w:szCs w:val="20"/>
          <w:lang w:val="en-US"/>
        </w:rPr>
        <w:t>August 1, 2019</w:t>
      </w:r>
      <w:r w:rsidRPr="00FE4742">
        <w:rPr>
          <w:szCs w:val="20"/>
          <w:lang w:val="en-US"/>
        </w:rPr>
        <w:t>:</w:t>
      </w:r>
    </w:p>
    <w:p w:rsidR="0069701C" w:rsidRPr="00E45ED0" w:rsidRDefault="00463611" w:rsidP="00C14BBA">
      <w:pPr>
        <w:pStyle w:val="ListParagraph"/>
        <w:spacing w:after="120"/>
        <w:rPr>
          <w:rStyle w:val="Hyperlink"/>
        </w:rPr>
      </w:pPr>
      <w:hyperlink r:id="rId13" w:history="1">
        <w:r w:rsidR="00C14BBA" w:rsidRPr="00D16BA2">
          <w:rPr>
            <w:rStyle w:val="Hyperlink"/>
          </w:rPr>
          <w:t>http://www.sec.gov/Archives/edgar/data/312070/000095010319010191/dp110497_424b2-underlying.htm</w:t>
        </w:r>
      </w:hyperlink>
    </w:p>
    <w:p w:rsidR="000941C2" w:rsidRPr="006F55AF" w:rsidRDefault="00C23812" w:rsidP="004A29FA">
      <w:pPr>
        <w:pStyle w:val="BodyText1"/>
        <w:spacing w:after="240"/>
        <w:jc w:val="both"/>
        <w:rPr>
          <w:szCs w:val="20"/>
          <w:lang w:val="en-US" w:eastAsia="ja-JP"/>
        </w:rPr>
      </w:pPr>
      <w:r>
        <w:rPr>
          <w:szCs w:val="20"/>
          <w:lang w:val="en-US" w:eastAsia="ja-JP"/>
        </w:rPr>
        <w:t>Our SEC file number is 1</w:t>
      </w:r>
      <w:r>
        <w:rPr>
          <w:sz w:val="14"/>
          <w:szCs w:val="14"/>
        </w:rPr>
        <w:t>–</w:t>
      </w:r>
      <w:r>
        <w:rPr>
          <w:szCs w:val="20"/>
          <w:lang w:val="en-US" w:eastAsia="ja-JP"/>
        </w:rPr>
        <w:t>10257.</w:t>
      </w:r>
      <w:r w:rsidR="000771B8" w:rsidRPr="000771B8">
        <w:rPr>
          <w:szCs w:val="20"/>
          <w:lang w:val="en-US" w:eastAsia="ja-JP"/>
        </w:rPr>
        <w:t xml:space="preserve"> As used in </w:t>
      </w:r>
      <w:r w:rsidR="002E3E40">
        <w:rPr>
          <w:szCs w:val="20"/>
          <w:lang w:val="en-US" w:eastAsia="ja-JP"/>
        </w:rPr>
        <w:t>this pricing supplement</w:t>
      </w:r>
      <w:r w:rsidR="000771B8" w:rsidRPr="000771B8">
        <w:rPr>
          <w:szCs w:val="20"/>
          <w:lang w:val="en-US" w:eastAsia="ja-JP"/>
        </w:rPr>
        <w:t>, “we,” “us” or “our” refers to Barclays Bank PLC.</w:t>
      </w:r>
    </w:p>
    <w:p w:rsidR="00F85D78" w:rsidRDefault="00F85D78">
      <w:pPr>
        <w:rPr>
          <w:b/>
          <w:caps/>
          <w:szCs w:val="20"/>
        </w:rPr>
      </w:pPr>
      <w:bookmarkStart w:id="2" w:name="Bail_In"/>
      <w:r>
        <w:br w:type="page"/>
      </w:r>
    </w:p>
    <w:p w:rsidR="001D776E" w:rsidRPr="006F55AF" w:rsidRDefault="000771B8" w:rsidP="0010195C">
      <w:pPr>
        <w:pStyle w:val="HeadingA"/>
      </w:pPr>
      <w:r w:rsidRPr="000771B8">
        <w:lastRenderedPageBreak/>
        <w:t>consent to u</w:t>
      </w:r>
      <w:r w:rsidRPr="00C23812">
        <w:rPr>
          <w:b w:val="0"/>
        </w:rPr>
        <w:t>.</w:t>
      </w:r>
      <w:r w:rsidRPr="000771B8">
        <w:t>k</w:t>
      </w:r>
      <w:r w:rsidRPr="00C23812">
        <w:rPr>
          <w:b w:val="0"/>
        </w:rPr>
        <w:t>.</w:t>
      </w:r>
      <w:r w:rsidRPr="000771B8">
        <w:t xml:space="preserve"> bail</w:t>
      </w:r>
      <w:r w:rsidRPr="00C23812">
        <w:rPr>
          <w:b w:val="0"/>
        </w:rPr>
        <w:t>-</w:t>
      </w:r>
      <w:r w:rsidRPr="000771B8">
        <w:t>in power</w:t>
      </w:r>
      <w:bookmarkEnd w:id="2"/>
    </w:p>
    <w:p w:rsidR="0069701C" w:rsidRPr="002E7346" w:rsidRDefault="0069701C" w:rsidP="0069701C">
      <w:pPr>
        <w:pStyle w:val="HeadingA"/>
        <w:spacing w:after="80"/>
        <w:jc w:val="both"/>
        <w:rPr>
          <w:caps w:val="0"/>
        </w:rPr>
      </w:pPr>
      <w:r w:rsidRPr="002E7346">
        <w:rPr>
          <w:caps w:val="0"/>
        </w:rPr>
        <w:t xml:space="preserve">Notwithstanding any other agreements, arrangements or understandings between us and any holder or beneficial owner of the Notes, by acquiring the Notes, each holder </w:t>
      </w:r>
      <w:r w:rsidR="0047392A">
        <w:rPr>
          <w:caps w:val="0"/>
        </w:rPr>
        <w:t>and</w:t>
      </w:r>
      <w:r w:rsidR="0047392A" w:rsidRPr="002E7346">
        <w:rPr>
          <w:caps w:val="0"/>
        </w:rPr>
        <w:t xml:space="preserve"> </w:t>
      </w:r>
      <w:r w:rsidRPr="002E7346">
        <w:rPr>
          <w:caps w:val="0"/>
        </w:rPr>
        <w:t>beneficial owner of the Notes acknowledges, accepts, agrees to be bound by, and consents to the exercise of, any U.K. Bail-in Power by the relevant U.K. resolution authority.</w:t>
      </w:r>
    </w:p>
    <w:p w:rsidR="0069701C" w:rsidRDefault="0069701C" w:rsidP="0069701C">
      <w:pPr>
        <w:pStyle w:val="HeadingA"/>
        <w:spacing w:after="80"/>
        <w:jc w:val="both"/>
        <w:rPr>
          <w:b w:val="0"/>
          <w:caps w:val="0"/>
        </w:rPr>
      </w:pPr>
      <w:r>
        <w:rPr>
          <w:b w:val="0"/>
          <w:caps w:val="0"/>
        </w:rPr>
        <w:t>Under the U.K. Banking Act 2009, as amended, the relevant U.K. resolution authority may exercise a U.K. Bail-in Power in circumstances in which the relevant U.K. resolution authority is satisfied that the resolution conditions are met. These conditions include that a U.K. bank or investment firm is failing or is likely to fail to satisfy the Financial Services and Markets Act 2000 (the “FSMA”) threshold conditions for authorization to carry on certain regulated activities (within the meaning of section 55B FSMA) or, in the case of a U.K. banking group company that is a European Economic Area (“EEA”) or third country institution or investment firm, that the relevant EEA or third country relevant authority is satisfied that the resolution conditions are met in respect of that entity.</w:t>
      </w:r>
    </w:p>
    <w:p w:rsidR="0069701C" w:rsidRDefault="0069701C" w:rsidP="0069701C">
      <w:pPr>
        <w:pStyle w:val="HeadingA"/>
        <w:spacing w:after="80"/>
        <w:jc w:val="both"/>
        <w:rPr>
          <w:b w:val="0"/>
          <w:caps w:val="0"/>
        </w:rPr>
      </w:pPr>
      <w:r>
        <w:rPr>
          <w:b w:val="0"/>
          <w:caps w:val="0"/>
        </w:rPr>
        <w:t xml:space="preserve">The U.K. Bail-in Power includes any write-down, conversion, transfer, modification and/or suspension power, which allows for </w:t>
      </w:r>
      <w:r w:rsidRPr="00E5782A">
        <w:rPr>
          <w:b w:val="0"/>
          <w:caps w:val="0"/>
        </w:rPr>
        <w:t>(i) the reduction or cancellation of all, or a portion, of the principal amount of, interest on, or any other amounts payable on, the Notes; (ii) the conversion of all, or a portion, of the principal amount of, interest on, or any other amounts payable on, the Notes into shares or other securities or other obligations of Barclays Bank PLC or another person (and the issue to, or conferral on, the holder</w:t>
      </w:r>
      <w:r>
        <w:rPr>
          <w:b w:val="0"/>
          <w:caps w:val="0"/>
        </w:rPr>
        <w:t xml:space="preserve"> or beneficial owner</w:t>
      </w:r>
      <w:r w:rsidRPr="00E5782A">
        <w:rPr>
          <w:b w:val="0"/>
          <w:caps w:val="0"/>
        </w:rPr>
        <w:t xml:space="preserve"> of the Notes such shares, securities or obligations); and/or (iii) the amendment or alteration of the maturity of the Notes, or amendment of the amount of interest or any other amounts due on the Notes, or the dates on which interest or any other amounts become payable, including by suspending payment for a temporary period; which U.K. Bail-in Power may be exercised by means of a variation of the terms of the Notes solely to give effect to the exercise by the relevant U.K. resolution authority of such U.K. Bail-in Power. Each holder </w:t>
      </w:r>
      <w:r>
        <w:rPr>
          <w:b w:val="0"/>
          <w:caps w:val="0"/>
        </w:rPr>
        <w:t xml:space="preserve">and beneficial owner </w:t>
      </w:r>
      <w:r w:rsidRPr="00E5782A">
        <w:rPr>
          <w:b w:val="0"/>
          <w:caps w:val="0"/>
        </w:rPr>
        <w:t xml:space="preserve">of the Notes further acknowledges and agrees that the rights of the holders </w:t>
      </w:r>
      <w:r>
        <w:rPr>
          <w:b w:val="0"/>
          <w:caps w:val="0"/>
        </w:rPr>
        <w:t xml:space="preserve">or beneficial owners </w:t>
      </w:r>
      <w:r w:rsidRPr="00E5782A">
        <w:rPr>
          <w:b w:val="0"/>
          <w:caps w:val="0"/>
        </w:rPr>
        <w:t>of the Notes are subject to, and will be varied, if necessary, solely to give effect to, the exercise of any U.K. Bail-in Power by the relevant U.K. resolution authority.</w:t>
      </w:r>
      <w:r>
        <w:rPr>
          <w:b w:val="0"/>
          <w:caps w:val="0"/>
        </w:rPr>
        <w:t xml:space="preserve"> </w:t>
      </w:r>
      <w:r w:rsidRPr="00E5782A">
        <w:rPr>
          <w:b w:val="0"/>
          <w:caps w:val="0"/>
        </w:rPr>
        <w:t>For the avoidance of doubt, this consent and acknowledgment is not a waiver of any rights holders</w:t>
      </w:r>
      <w:r>
        <w:rPr>
          <w:b w:val="0"/>
          <w:caps w:val="0"/>
        </w:rPr>
        <w:t xml:space="preserve"> or beneficial owners</w:t>
      </w:r>
      <w:r w:rsidRPr="00E5782A">
        <w:rPr>
          <w:b w:val="0"/>
          <w:caps w:val="0"/>
        </w:rPr>
        <w:t xml:space="preserve"> of the </w:t>
      </w:r>
      <w:r>
        <w:rPr>
          <w:b w:val="0"/>
          <w:caps w:val="0"/>
        </w:rPr>
        <w:t>Notes</w:t>
      </w:r>
      <w:r w:rsidRPr="00E5782A">
        <w:rPr>
          <w:b w:val="0"/>
          <w:caps w:val="0"/>
        </w:rPr>
        <w:t xml:space="preserve"> may have at law if and to the extent that any U.K. Bail-in Power is exercised by the relevant U.K. resolution authority in breach of laws applicable in England.</w:t>
      </w:r>
    </w:p>
    <w:p w:rsidR="001D776E" w:rsidRPr="006F55AF" w:rsidRDefault="0069701C" w:rsidP="004A29FA">
      <w:pPr>
        <w:pStyle w:val="BodyText1"/>
        <w:spacing w:after="240"/>
        <w:jc w:val="both"/>
        <w:rPr>
          <w:b/>
          <w:szCs w:val="20"/>
          <w:lang w:val="en-US" w:eastAsia="ja-JP"/>
        </w:rPr>
      </w:pPr>
      <w:r w:rsidRPr="0069495E">
        <w:t>For more information</w:t>
      </w:r>
      <w:r w:rsidRPr="00024AED">
        <w:t>,</w:t>
      </w:r>
      <w:r w:rsidRPr="0069495E">
        <w:t xml:space="preserve"> please see </w:t>
      </w:r>
      <w:r w:rsidRPr="00024AED">
        <w:t>“</w:t>
      </w:r>
      <w:r w:rsidRPr="0069495E">
        <w:t>Selected Risk Considerations</w:t>
      </w:r>
      <w:r w:rsidRPr="00024AED">
        <w:t>—</w:t>
      </w:r>
      <w:r w:rsidRPr="0069495E">
        <w:t>You May Lose Some or All of Your Investment If Any U</w:t>
      </w:r>
      <w:r w:rsidRPr="00024AED">
        <w:t>.</w:t>
      </w:r>
      <w:r w:rsidRPr="0069495E">
        <w:t>K</w:t>
      </w:r>
      <w:r w:rsidRPr="00024AED">
        <w:t>.</w:t>
      </w:r>
      <w:r w:rsidRPr="0069495E">
        <w:t xml:space="preserve"> Bail</w:t>
      </w:r>
      <w:r w:rsidRPr="00024AED">
        <w:t>-</w:t>
      </w:r>
      <w:r w:rsidRPr="0069495E">
        <w:t>in Power Is Exercised by the Relevant U</w:t>
      </w:r>
      <w:r w:rsidRPr="00024AED">
        <w:t>.</w:t>
      </w:r>
      <w:r w:rsidRPr="0069495E">
        <w:t>K</w:t>
      </w:r>
      <w:r w:rsidRPr="00024AED">
        <w:t>.</w:t>
      </w:r>
      <w:r w:rsidRPr="0069495E">
        <w:t xml:space="preserve"> Resolution Authority</w:t>
      </w:r>
      <w:r w:rsidRPr="00024AED">
        <w:t>”</w:t>
      </w:r>
      <w:r w:rsidRPr="0069495E">
        <w:t xml:space="preserve"> in this pricing supplement as well as </w:t>
      </w:r>
      <w:r w:rsidRPr="00024AED">
        <w:t>“</w:t>
      </w:r>
      <w:r w:rsidRPr="0069495E">
        <w:t>U</w:t>
      </w:r>
      <w:r w:rsidRPr="00024AED">
        <w:t>.</w:t>
      </w:r>
      <w:r w:rsidRPr="0069495E">
        <w:t>K</w:t>
      </w:r>
      <w:r w:rsidRPr="00024AED">
        <w:t>.</w:t>
      </w:r>
      <w:r w:rsidRPr="0069495E">
        <w:t xml:space="preserve"> Bail-in Power</w:t>
      </w:r>
      <w:r w:rsidRPr="00024AED">
        <w:t>,”</w:t>
      </w:r>
      <w:r w:rsidRPr="0069495E">
        <w:t xml:space="preserve"> </w:t>
      </w:r>
      <w:r w:rsidRPr="00024AED">
        <w:t>“</w:t>
      </w:r>
      <w:r w:rsidRPr="0069495E">
        <w:t>Risk Factors</w:t>
      </w:r>
      <w:r w:rsidRPr="00024AED">
        <w:t>—</w:t>
      </w:r>
      <w:r w:rsidRPr="0069495E">
        <w:t>Risks Relating to the Securities Generally</w:t>
      </w:r>
      <w:r w:rsidRPr="00024AED">
        <w:t>—</w:t>
      </w:r>
      <w:r w:rsidRPr="0069495E">
        <w:t>Regulatory action in the event a bank or investment firm in the Group is failing or likely to fail could materially adversely affect the value of the securities</w:t>
      </w:r>
      <w:r w:rsidRPr="00024AED">
        <w:t>”</w:t>
      </w:r>
      <w:r w:rsidRPr="0069495E">
        <w:t xml:space="preserve"> and </w:t>
      </w:r>
      <w:r w:rsidRPr="00024AED">
        <w:t>“</w:t>
      </w:r>
      <w:r w:rsidRPr="0069495E">
        <w:t>Risk Factors</w:t>
      </w:r>
      <w:r w:rsidRPr="00024AED">
        <w:t>—</w:t>
      </w:r>
      <w:r w:rsidRPr="0069495E">
        <w:t>Risks Relating to the Securities Generally</w:t>
      </w:r>
      <w:r w:rsidRPr="00024AED">
        <w:t>—</w:t>
      </w:r>
      <w:r w:rsidRPr="0069495E">
        <w:t>Under the terms of the securities, you have agreed to be bound by the exercise of any U</w:t>
      </w:r>
      <w:r w:rsidRPr="00024AED">
        <w:t>.</w:t>
      </w:r>
      <w:r w:rsidRPr="0069495E">
        <w:t>K</w:t>
      </w:r>
      <w:r w:rsidRPr="00024AED">
        <w:t>.</w:t>
      </w:r>
      <w:r w:rsidRPr="0069495E">
        <w:t xml:space="preserve"> Bail</w:t>
      </w:r>
      <w:r w:rsidRPr="00024AED">
        <w:t>-</w:t>
      </w:r>
      <w:r w:rsidRPr="0069495E">
        <w:t>in Power by the relevant U</w:t>
      </w:r>
      <w:r w:rsidRPr="00024AED">
        <w:t>.</w:t>
      </w:r>
      <w:r w:rsidRPr="0069495E">
        <w:t>K</w:t>
      </w:r>
      <w:r w:rsidRPr="00024AED">
        <w:t>.</w:t>
      </w:r>
      <w:r w:rsidRPr="0069495E">
        <w:t xml:space="preserve"> resolution authority</w:t>
      </w:r>
      <w:r w:rsidRPr="00024AED">
        <w:t>”</w:t>
      </w:r>
      <w:r w:rsidRPr="0069495E">
        <w:t xml:space="preserve"> in the accompanying prospectus supplement</w:t>
      </w:r>
      <w:r w:rsidRPr="00024AED">
        <w:t>.</w:t>
      </w:r>
    </w:p>
    <w:p w:rsidR="000941C2" w:rsidRDefault="000941C2">
      <w:pPr>
        <w:rPr>
          <w:color w:val="000000"/>
          <w:szCs w:val="20"/>
          <w:lang w:val="en-US" w:eastAsia="ja-JP"/>
        </w:rPr>
      </w:pPr>
      <w:r>
        <w:rPr>
          <w:color w:val="000000"/>
          <w:szCs w:val="20"/>
          <w:lang w:val="en-US" w:eastAsia="ja-JP"/>
        </w:rPr>
        <w:br w:type="page"/>
      </w:r>
    </w:p>
    <w:p w:rsidR="008678CA" w:rsidRPr="006F55AF" w:rsidRDefault="00C372D3" w:rsidP="0010195C">
      <w:pPr>
        <w:pStyle w:val="BodyText1"/>
        <w:rPr>
          <w:b/>
          <w:color w:val="000000"/>
          <w:szCs w:val="20"/>
          <w:lang w:val="en-US" w:eastAsia="ja-JP"/>
        </w:rPr>
      </w:pPr>
      <w:bookmarkStart w:id="3" w:name="Fair_Value"/>
      <w:r w:rsidRPr="006F55AF">
        <w:rPr>
          <w:b/>
          <w:color w:val="000000"/>
          <w:szCs w:val="20"/>
          <w:lang w:val="en-US" w:eastAsia="ja-JP"/>
        </w:rPr>
        <w:t>ADDITIONAL INFORMATION</w:t>
      </w:r>
      <w:r w:rsidR="000771B8" w:rsidRPr="000771B8">
        <w:rPr>
          <w:b/>
          <w:color w:val="000000"/>
          <w:szCs w:val="20"/>
          <w:lang w:val="en-US" w:eastAsia="ja-JP"/>
        </w:rPr>
        <w:t xml:space="preserve"> REGARDING OUR ESTIMATED VALUE OF THE NOTES</w:t>
      </w:r>
      <w:bookmarkEnd w:id="3"/>
    </w:p>
    <w:p w:rsidR="008E3991" w:rsidRPr="006F55AF" w:rsidRDefault="00E41EAD" w:rsidP="003969C0">
      <w:pPr>
        <w:autoSpaceDE w:val="0"/>
        <w:autoSpaceDN w:val="0"/>
        <w:adjustRightInd w:val="0"/>
        <w:spacing w:after="120"/>
        <w:jc w:val="both"/>
        <w:rPr>
          <w:color w:val="000000"/>
          <w:szCs w:val="20"/>
          <w:lang w:val="en-US" w:eastAsia="ja-JP"/>
        </w:rPr>
      </w:pPr>
      <w:r w:rsidRPr="003221B8">
        <w:rPr>
          <w:rFonts w:eastAsia="Times New Roman"/>
          <w:color w:val="000000"/>
          <w:szCs w:val="20"/>
          <w:lang w:val="en-US" w:eastAsia="en-US"/>
        </w:rPr>
        <w:t xml:space="preserve">The range of the estimated values of the Notes referenced above may not correlate on a linear basis with </w:t>
      </w:r>
      <w:r>
        <w:rPr>
          <w:rFonts w:eastAsia="Times New Roman"/>
          <w:color w:val="000000"/>
          <w:szCs w:val="20"/>
          <w:lang w:val="en-US" w:eastAsia="en-US"/>
        </w:rPr>
        <w:t>the range of any other term of the Notes as may be</w:t>
      </w:r>
      <w:r w:rsidRPr="003221B8">
        <w:rPr>
          <w:rFonts w:eastAsia="Times New Roman"/>
          <w:color w:val="000000"/>
          <w:szCs w:val="20"/>
          <w:lang w:val="en-US" w:eastAsia="en-US"/>
        </w:rPr>
        <w:t xml:space="preserve"> set forth in </w:t>
      </w:r>
      <w:r>
        <w:rPr>
          <w:rFonts w:eastAsia="Times New Roman"/>
          <w:color w:val="000000"/>
          <w:szCs w:val="20"/>
          <w:lang w:val="en-US" w:eastAsia="en-US"/>
        </w:rPr>
        <w:t>this pricing supplement.</w:t>
      </w:r>
      <w:r w:rsidRPr="003221B8">
        <w:rPr>
          <w:rFonts w:eastAsia="Times New Roman"/>
          <w:color w:val="000000"/>
          <w:szCs w:val="20"/>
          <w:lang w:val="en-US" w:eastAsia="en-US"/>
        </w:rPr>
        <w:t xml:space="preserve"> We determined the size of such range based on prevailing market conditions, as well as the anticipated duration of the </w:t>
      </w:r>
      <w:r>
        <w:rPr>
          <w:rFonts w:eastAsia="Times New Roman"/>
          <w:color w:val="000000"/>
          <w:szCs w:val="20"/>
          <w:lang w:val="en-US" w:eastAsia="en-US"/>
        </w:rPr>
        <w:t>marketing period for the Notes.</w:t>
      </w:r>
      <w:r w:rsidRPr="003221B8">
        <w:rPr>
          <w:rFonts w:eastAsia="Times New Roman"/>
          <w:color w:val="000000"/>
          <w:szCs w:val="20"/>
          <w:lang w:val="en-US" w:eastAsia="en-US"/>
        </w:rPr>
        <w:t xml:space="preserve"> </w:t>
      </w:r>
      <w:r w:rsidR="000771B8" w:rsidRPr="000771B8">
        <w:rPr>
          <w:rFonts w:eastAsia="Times New Roman"/>
          <w:color w:val="000000"/>
          <w:szCs w:val="20"/>
          <w:lang w:val="en-US" w:eastAsia="en-US"/>
        </w:rPr>
        <w:t xml:space="preserve">The final terms for the Notes will be determined on the date the Notes are initially priced for sale to the public, which we refer to as the Initial Valuation Date, based on prevailing market conditions on </w:t>
      </w:r>
      <w:r w:rsidR="00220914">
        <w:rPr>
          <w:rFonts w:eastAsia="Times New Roman"/>
          <w:color w:val="000000"/>
          <w:szCs w:val="20"/>
          <w:lang w:val="en-US" w:eastAsia="en-US"/>
        </w:rPr>
        <w:t xml:space="preserve">or prior to </w:t>
      </w:r>
      <w:r w:rsidR="000771B8" w:rsidRPr="000771B8">
        <w:rPr>
          <w:rFonts w:eastAsia="Times New Roman"/>
          <w:color w:val="000000"/>
          <w:szCs w:val="20"/>
          <w:lang w:val="en-US" w:eastAsia="en-US"/>
        </w:rPr>
        <w:t>the Initial Valuation Date, and will be communicated to investors either orally or in a final pricing supplement.</w:t>
      </w:r>
    </w:p>
    <w:p w:rsidR="008E3991" w:rsidRPr="006F55AF" w:rsidRDefault="000771B8" w:rsidP="003969C0">
      <w:pPr>
        <w:spacing w:after="120"/>
        <w:jc w:val="both"/>
        <w:rPr>
          <w:color w:val="000000"/>
          <w:szCs w:val="20"/>
          <w:lang w:val="en-US" w:eastAsia="ja-JP"/>
        </w:rPr>
      </w:pPr>
      <w:r w:rsidRPr="000771B8">
        <w:rPr>
          <w:color w:val="000000"/>
          <w:szCs w:val="20"/>
          <w:lang w:val="en-US" w:eastAsia="ja-JP"/>
        </w:rPr>
        <w:t>Our internal pricing models take into account a number of variables and are based on a number of subjective assumptions, which may or may not materialize, typically including volatility, interest rates</w:t>
      </w:r>
      <w:r w:rsidRPr="000771B8">
        <w:rPr>
          <w:b/>
          <w:color w:val="000000"/>
          <w:szCs w:val="20"/>
          <w:lang w:val="en-US" w:eastAsia="ja-JP"/>
        </w:rPr>
        <w:t>,</w:t>
      </w:r>
      <w:r w:rsidRPr="000771B8">
        <w:rPr>
          <w:color w:val="000000"/>
          <w:szCs w:val="20"/>
          <w:lang w:val="en-US" w:eastAsia="ja-JP"/>
        </w:rPr>
        <w:t xml:space="preserve"> a</w:t>
      </w:r>
      <w:r w:rsidR="00C23812">
        <w:rPr>
          <w:color w:val="000000"/>
          <w:szCs w:val="20"/>
          <w:lang w:val="en-US" w:eastAsia="ja-JP"/>
        </w:rPr>
        <w:t xml:space="preserve">nd our internal funding rates. </w:t>
      </w:r>
      <w:r w:rsidRPr="000771B8">
        <w:rPr>
          <w:color w:val="000000"/>
          <w:szCs w:val="20"/>
          <w:lang w:val="en-US" w:eastAsia="ja-JP"/>
        </w:rPr>
        <w:t>Our internal funding rates (which are our internally published borrowing rates based on variables such as market benchmarks, our appetite for borrowing, and our existing obligations coming to maturity) may vary from the levels at which our benchmark debt securities</w:t>
      </w:r>
      <w:r w:rsidR="00C23812">
        <w:rPr>
          <w:color w:val="000000"/>
          <w:szCs w:val="20"/>
          <w:lang w:val="en-US" w:eastAsia="ja-JP"/>
        </w:rPr>
        <w:t xml:space="preserve"> trade in the secondary market.</w:t>
      </w:r>
      <w:r w:rsidRPr="000771B8">
        <w:rPr>
          <w:color w:val="000000"/>
          <w:szCs w:val="20"/>
          <w:lang w:val="en-US" w:eastAsia="ja-JP"/>
        </w:rPr>
        <w:t xml:space="preserve"> Our estimated value on the Initial Valuation Date is based</w:t>
      </w:r>
      <w:r w:rsidR="00C23812">
        <w:rPr>
          <w:color w:val="000000"/>
          <w:szCs w:val="20"/>
          <w:lang w:val="en-US" w:eastAsia="ja-JP"/>
        </w:rPr>
        <w:t xml:space="preserve"> on our internal funding rates.</w:t>
      </w:r>
      <w:r w:rsidRPr="000771B8">
        <w:rPr>
          <w:color w:val="000000"/>
          <w:szCs w:val="20"/>
          <w:lang w:val="en-US" w:eastAsia="ja-JP"/>
        </w:rPr>
        <w:t xml:space="preserve"> Our estimated value of the Notes </w:t>
      </w:r>
      <w:r w:rsidR="00D352D0" w:rsidRPr="000771B8">
        <w:rPr>
          <w:color w:val="000000"/>
          <w:szCs w:val="20"/>
          <w:lang w:val="en-US" w:eastAsia="ja-JP"/>
        </w:rPr>
        <w:t>m</w:t>
      </w:r>
      <w:r w:rsidR="00D352D0">
        <w:rPr>
          <w:color w:val="000000"/>
          <w:szCs w:val="20"/>
          <w:lang w:val="en-US" w:eastAsia="ja-JP"/>
        </w:rPr>
        <w:t>ay</w:t>
      </w:r>
      <w:r w:rsidR="00D352D0" w:rsidRPr="000771B8">
        <w:rPr>
          <w:color w:val="000000"/>
          <w:szCs w:val="20"/>
          <w:lang w:val="en-US" w:eastAsia="ja-JP"/>
        </w:rPr>
        <w:t xml:space="preserve"> </w:t>
      </w:r>
      <w:r w:rsidRPr="000771B8">
        <w:rPr>
          <w:color w:val="000000"/>
          <w:szCs w:val="20"/>
          <w:lang w:val="en-US" w:eastAsia="ja-JP"/>
        </w:rPr>
        <w:t>be lower if such valuation were based on the levels at which our benchmark debt securities trade in the secondary market.</w:t>
      </w:r>
    </w:p>
    <w:p w:rsidR="008E3991" w:rsidRPr="006F55AF" w:rsidRDefault="000771B8" w:rsidP="003969C0">
      <w:pPr>
        <w:pStyle w:val="Bodytextbold"/>
        <w:spacing w:after="120"/>
        <w:jc w:val="both"/>
        <w:rPr>
          <w:b w:val="0"/>
          <w:color w:val="000000"/>
          <w:szCs w:val="20"/>
          <w:lang w:val="en-US" w:eastAsia="ja-JP"/>
        </w:rPr>
      </w:pPr>
      <w:r w:rsidRPr="000771B8">
        <w:rPr>
          <w:b w:val="0"/>
          <w:color w:val="000000"/>
          <w:szCs w:val="20"/>
          <w:lang w:val="en-US" w:eastAsia="ja-JP"/>
        </w:rPr>
        <w:t>Our estimated value of the Notes on the Initial Valuation Date is expected to be less than the ini</w:t>
      </w:r>
      <w:r w:rsidR="00C23812">
        <w:rPr>
          <w:b w:val="0"/>
          <w:color w:val="000000"/>
          <w:szCs w:val="20"/>
          <w:lang w:val="en-US" w:eastAsia="ja-JP"/>
        </w:rPr>
        <w:t xml:space="preserve">tial issue price of the Notes. </w:t>
      </w:r>
      <w:r w:rsidRPr="000771B8">
        <w:rPr>
          <w:b w:val="0"/>
          <w:color w:val="000000"/>
          <w:szCs w:val="20"/>
          <w:lang w:val="en-US" w:eastAsia="ja-JP"/>
        </w:rPr>
        <w:t xml:space="preserve">The difference between the initial issue price of the Notes and our estimated value of the Notes is </w:t>
      </w:r>
      <w:r w:rsidR="00C328DE">
        <w:rPr>
          <w:b w:val="0"/>
          <w:color w:val="000000"/>
          <w:szCs w:val="20"/>
          <w:lang w:val="en-US" w:eastAsia="ja-JP"/>
        </w:rPr>
        <w:t>a</w:t>
      </w:r>
      <w:r w:rsidRPr="000771B8">
        <w:rPr>
          <w:b w:val="0"/>
          <w:color w:val="000000"/>
          <w:szCs w:val="20"/>
          <w:lang w:val="en-US" w:eastAsia="ja-JP"/>
        </w:rPr>
        <w:t xml:space="preserve"> result </w:t>
      </w:r>
      <w:r w:rsidR="00C328DE">
        <w:rPr>
          <w:b w:val="0"/>
          <w:color w:val="000000"/>
          <w:szCs w:val="20"/>
          <w:lang w:val="en-US" w:eastAsia="ja-JP"/>
        </w:rPr>
        <w:t>of</w:t>
      </w:r>
      <w:r w:rsidR="00C328DE" w:rsidRPr="000771B8">
        <w:rPr>
          <w:b w:val="0"/>
          <w:color w:val="000000"/>
          <w:szCs w:val="20"/>
          <w:lang w:val="en-US" w:eastAsia="ja-JP"/>
        </w:rPr>
        <w:t xml:space="preserve"> </w:t>
      </w:r>
      <w:r w:rsidRPr="000771B8">
        <w:rPr>
          <w:b w:val="0"/>
          <w:color w:val="000000"/>
          <w:szCs w:val="20"/>
          <w:lang w:val="en-US" w:eastAsia="ja-JP"/>
        </w:rPr>
        <w:t xml:space="preserve">several factors, including any sales commissions to be paid to Barclays Capital Inc. or another affiliate of ours, any selling concessions, discounts, commissions or fees </w:t>
      </w:r>
      <w:r w:rsidR="00C328DE">
        <w:rPr>
          <w:b w:val="0"/>
          <w:color w:val="000000"/>
          <w:szCs w:val="20"/>
          <w:lang w:val="en-US" w:eastAsia="ja-JP"/>
        </w:rPr>
        <w:t>(including any structuring or other distribution related fees)</w:t>
      </w:r>
      <w:r w:rsidR="00C328DE" w:rsidRPr="000771B8">
        <w:rPr>
          <w:b w:val="0"/>
          <w:color w:val="000000"/>
          <w:szCs w:val="20"/>
          <w:lang w:val="en-US" w:eastAsia="ja-JP"/>
        </w:rPr>
        <w:t xml:space="preserve"> </w:t>
      </w:r>
      <w:r w:rsidRPr="000771B8">
        <w:rPr>
          <w:b w:val="0"/>
          <w:color w:val="000000"/>
          <w:szCs w:val="20"/>
          <w:lang w:val="en-US" w:eastAsia="ja-JP"/>
        </w:rPr>
        <w:t xml:space="preserve">to be allowed or paid to non-affiliated intermediaries, the estimated profit that we or any of our affiliates expect to earn in connection with structuring the Notes, the estimated cost which we may incur in hedging our obligations under the Notes, and estimated development and other costs which we may incur in connection with the Notes. </w:t>
      </w:r>
    </w:p>
    <w:p w:rsidR="008E3991" w:rsidRPr="006F55AF" w:rsidRDefault="000771B8" w:rsidP="003969C0">
      <w:pPr>
        <w:spacing w:after="120"/>
        <w:jc w:val="both"/>
        <w:rPr>
          <w:color w:val="000000"/>
          <w:szCs w:val="20"/>
          <w:lang w:val="en-US" w:eastAsia="ja-JP"/>
        </w:rPr>
      </w:pPr>
      <w:r w:rsidRPr="000771B8">
        <w:rPr>
          <w:color w:val="000000"/>
          <w:szCs w:val="20"/>
          <w:lang w:val="en-US" w:eastAsia="ja-JP"/>
        </w:rPr>
        <w:t xml:space="preserve">Our estimated value on the Initial Valuation Date is not a prediction of the price at which the Notes may trade in the secondary market, nor will it be the price at which Barclays Capital Inc. may buy or sell the Notes in the secondary market. Subject to normal market and funding conditions, Barclays Capital Inc. or another affiliate of ours intends to offer to purchase the Notes in the secondary market but it is not obligated to do so. </w:t>
      </w:r>
    </w:p>
    <w:p w:rsidR="008E3991" w:rsidRPr="006F55AF" w:rsidRDefault="000771B8" w:rsidP="003969C0">
      <w:pPr>
        <w:pStyle w:val="Bodytextbold"/>
        <w:spacing w:after="120"/>
        <w:jc w:val="both"/>
        <w:rPr>
          <w:b w:val="0"/>
          <w:szCs w:val="20"/>
          <w:lang w:val="en-US" w:eastAsia="ja-JP"/>
        </w:rPr>
      </w:pPr>
      <w:r w:rsidRPr="000771B8">
        <w:rPr>
          <w:b w:val="0"/>
          <w:szCs w:val="20"/>
          <w:lang w:val="en-US" w:eastAsia="ja-JP"/>
        </w:rPr>
        <w:t>Assuming that all relevant factors remain constant after the Initial Valuation Date, the price at which Barclays Capital Inc. may initially buy or sell the Notes in the secondary market, if any, and the value that we may initially use for customer account statements, if we provide any customer account statements at all, may exceed our estimated value on the Initial Valuation Date for a temporary period expected to be approximately six</w:t>
      </w:r>
      <w:r w:rsidRPr="000771B8">
        <w:rPr>
          <w:b w:val="0"/>
          <w:szCs w:val="20"/>
          <w:vertAlign w:val="superscript"/>
          <w:lang w:val="en-US" w:eastAsia="ja-JP"/>
        </w:rPr>
        <w:t xml:space="preserve"> </w:t>
      </w:r>
      <w:r w:rsidRPr="000771B8">
        <w:rPr>
          <w:b w:val="0"/>
          <w:szCs w:val="20"/>
          <w:lang w:val="en-US" w:eastAsia="ja-JP"/>
        </w:rPr>
        <w:t>months after the Issue Date because, in our discretion, we may elect to effectively reimburse to investors a portion of the estimated cost of hedging our obligations under the Notes and other costs in connection with the Notes which we will no longer expect to in</w:t>
      </w:r>
      <w:r w:rsidR="00C23812">
        <w:rPr>
          <w:b w:val="0"/>
          <w:szCs w:val="20"/>
          <w:lang w:val="en-US" w:eastAsia="ja-JP"/>
        </w:rPr>
        <w:t>cur over the term of the Notes.</w:t>
      </w:r>
      <w:r w:rsidRPr="000771B8">
        <w:rPr>
          <w:b w:val="0"/>
          <w:szCs w:val="20"/>
          <w:lang w:val="en-US" w:eastAsia="ja-JP"/>
        </w:rPr>
        <w:t xml:space="preserve"> We made such discretionary election and determined this temporary reimbursement period on the basis of a number of factors, </w:t>
      </w:r>
      <w:r w:rsidR="00220914">
        <w:rPr>
          <w:b w:val="0"/>
          <w:szCs w:val="20"/>
          <w:lang w:val="en-US" w:eastAsia="ja-JP"/>
        </w:rPr>
        <w:t>which may include</w:t>
      </w:r>
      <w:r w:rsidR="00220914" w:rsidRPr="000771B8">
        <w:rPr>
          <w:b w:val="0"/>
          <w:szCs w:val="20"/>
          <w:lang w:val="en-US" w:eastAsia="ja-JP"/>
        </w:rPr>
        <w:t xml:space="preserve"> </w:t>
      </w:r>
      <w:r w:rsidRPr="000771B8">
        <w:rPr>
          <w:b w:val="0"/>
          <w:szCs w:val="20"/>
          <w:lang w:val="en-US" w:eastAsia="ja-JP"/>
        </w:rPr>
        <w:t>the tenor of the Notes and</w:t>
      </w:r>
      <w:r w:rsidR="00220914">
        <w:rPr>
          <w:b w:val="0"/>
          <w:szCs w:val="20"/>
          <w:lang w:val="en-US" w:eastAsia="ja-JP"/>
        </w:rPr>
        <w:t>/or</w:t>
      </w:r>
      <w:r w:rsidRPr="000771B8">
        <w:rPr>
          <w:b w:val="0"/>
          <w:szCs w:val="20"/>
          <w:lang w:val="en-US" w:eastAsia="ja-JP"/>
        </w:rPr>
        <w:t xml:space="preserve"> any agreement we may have with</w:t>
      </w:r>
      <w:r w:rsidR="00C23812">
        <w:rPr>
          <w:b w:val="0"/>
          <w:szCs w:val="20"/>
          <w:lang w:val="en-US" w:eastAsia="ja-JP"/>
        </w:rPr>
        <w:t xml:space="preserve"> the distributors of the Notes.</w:t>
      </w:r>
      <w:r w:rsidRPr="000771B8">
        <w:rPr>
          <w:b w:val="0"/>
          <w:szCs w:val="20"/>
          <w:lang w:val="en-US" w:eastAsia="ja-JP"/>
        </w:rPr>
        <w:t xml:space="preserve"> The amount of our estimated costs which we effectively reimburse to investors in this way may not be allocated ratably throughout the reimbursement period, and we may discontinue such reimbursement at any time or revise the duration of the reimbursement period after the initial </w:t>
      </w:r>
      <w:r w:rsidR="009A1CD9">
        <w:rPr>
          <w:b w:val="0"/>
          <w:szCs w:val="20"/>
          <w:lang w:val="en-US" w:eastAsia="ja-JP"/>
        </w:rPr>
        <w:t>I</w:t>
      </w:r>
      <w:r w:rsidR="009A1CD9" w:rsidRPr="000771B8">
        <w:rPr>
          <w:b w:val="0"/>
          <w:szCs w:val="20"/>
          <w:lang w:val="en-US" w:eastAsia="ja-JP"/>
        </w:rPr>
        <w:t xml:space="preserve">ssue </w:t>
      </w:r>
      <w:r w:rsidR="009A1CD9">
        <w:rPr>
          <w:b w:val="0"/>
          <w:szCs w:val="20"/>
          <w:lang w:val="en-US" w:eastAsia="ja-JP"/>
        </w:rPr>
        <w:t>D</w:t>
      </w:r>
      <w:r w:rsidR="009A1CD9" w:rsidRPr="000771B8">
        <w:rPr>
          <w:b w:val="0"/>
          <w:szCs w:val="20"/>
          <w:lang w:val="en-US" w:eastAsia="ja-JP"/>
        </w:rPr>
        <w:t xml:space="preserve">ate </w:t>
      </w:r>
      <w:r w:rsidRPr="000771B8">
        <w:rPr>
          <w:b w:val="0"/>
          <w:szCs w:val="20"/>
          <w:lang w:val="en-US" w:eastAsia="ja-JP"/>
        </w:rPr>
        <w:t>of the Notes based on changes in market conditions and other factors that cannot be predicted.</w:t>
      </w:r>
    </w:p>
    <w:p w:rsidR="008E3991" w:rsidRPr="006F55AF" w:rsidRDefault="000771B8" w:rsidP="003969C0">
      <w:pPr>
        <w:spacing w:after="120"/>
        <w:jc w:val="both"/>
        <w:rPr>
          <w:rFonts w:eastAsia="Times New Roman"/>
          <w:b/>
          <w:szCs w:val="20"/>
          <w:lang w:val="en-US" w:eastAsia="ja-JP"/>
        </w:rPr>
      </w:pPr>
      <w:r w:rsidRPr="000771B8">
        <w:rPr>
          <w:rFonts w:eastAsia="Times New Roman"/>
          <w:b/>
          <w:szCs w:val="20"/>
          <w:lang w:val="en-US" w:eastAsia="ja-JP"/>
        </w:rPr>
        <w:t xml:space="preserve">We urge you to read the </w:t>
      </w:r>
      <w:r w:rsidRPr="00C23812">
        <w:rPr>
          <w:rFonts w:eastAsia="Times New Roman"/>
          <w:szCs w:val="20"/>
          <w:lang w:val="en-US" w:eastAsia="ja-JP"/>
        </w:rPr>
        <w:t>“</w:t>
      </w:r>
      <w:r w:rsidRPr="000771B8">
        <w:rPr>
          <w:rFonts w:eastAsia="Times New Roman"/>
          <w:b/>
          <w:szCs w:val="20"/>
          <w:lang w:val="en-US" w:eastAsia="ja-JP"/>
        </w:rPr>
        <w:t>Selected Risk Considerations</w:t>
      </w:r>
      <w:r w:rsidRPr="00C23812">
        <w:rPr>
          <w:rFonts w:eastAsia="Times New Roman"/>
          <w:szCs w:val="20"/>
          <w:lang w:val="en-US" w:eastAsia="ja-JP"/>
        </w:rPr>
        <w:t>”</w:t>
      </w:r>
      <w:r w:rsidRPr="000771B8">
        <w:rPr>
          <w:rFonts w:eastAsia="Times New Roman"/>
          <w:b/>
          <w:szCs w:val="20"/>
          <w:lang w:val="en-US" w:eastAsia="ja-JP"/>
        </w:rPr>
        <w:t xml:space="preserve"> beginning on page </w:t>
      </w:r>
      <w:r w:rsidR="002E3E40">
        <w:rPr>
          <w:rFonts w:eastAsia="Times New Roman"/>
          <w:b/>
          <w:szCs w:val="20"/>
          <w:lang w:val="en-US" w:eastAsia="ja-JP"/>
        </w:rPr>
        <w:t>PS</w:t>
      </w:r>
      <w:r w:rsidR="00D63D96">
        <w:rPr>
          <w:sz w:val="14"/>
          <w:szCs w:val="14"/>
        </w:rPr>
        <w:t>–</w:t>
      </w:r>
      <w:r w:rsidR="00136F87">
        <w:rPr>
          <w:rFonts w:eastAsia="Times New Roman"/>
          <w:b/>
          <w:szCs w:val="20"/>
          <w:lang w:val="en-US" w:eastAsia="ja-JP"/>
        </w:rPr>
        <w:fldChar w:fldCharType="begin"/>
      </w:r>
      <w:r w:rsidR="00D63D96">
        <w:rPr>
          <w:rFonts w:eastAsia="Times New Roman"/>
          <w:b/>
          <w:szCs w:val="20"/>
          <w:lang w:val="en-US" w:eastAsia="ja-JP"/>
        </w:rPr>
        <w:instrText xml:space="preserve"> PAGEREF Selected_Risk_Considerations \h </w:instrText>
      </w:r>
      <w:r w:rsidR="00136F87">
        <w:rPr>
          <w:rFonts w:eastAsia="Times New Roman"/>
          <w:b/>
          <w:szCs w:val="20"/>
          <w:lang w:val="en-US" w:eastAsia="ja-JP"/>
        </w:rPr>
      </w:r>
      <w:r w:rsidR="00136F87">
        <w:rPr>
          <w:rFonts w:eastAsia="Times New Roman"/>
          <w:b/>
          <w:szCs w:val="20"/>
          <w:lang w:val="en-US" w:eastAsia="ja-JP"/>
        </w:rPr>
        <w:fldChar w:fldCharType="separate"/>
      </w:r>
      <w:r w:rsidR="0058601F">
        <w:rPr>
          <w:rFonts w:eastAsia="Times New Roman"/>
          <w:b/>
          <w:noProof/>
          <w:szCs w:val="20"/>
          <w:lang w:val="en-US" w:eastAsia="ja-JP"/>
        </w:rPr>
        <w:t>10</w:t>
      </w:r>
      <w:r w:rsidR="00136F87">
        <w:rPr>
          <w:rFonts w:eastAsia="Times New Roman"/>
          <w:b/>
          <w:szCs w:val="20"/>
          <w:lang w:val="en-US" w:eastAsia="ja-JP"/>
        </w:rPr>
        <w:fldChar w:fldCharType="end"/>
      </w:r>
      <w:r w:rsidRPr="000771B8">
        <w:rPr>
          <w:rFonts w:eastAsia="Times New Roman"/>
          <w:b/>
          <w:szCs w:val="20"/>
          <w:lang w:val="en-US" w:eastAsia="ja-JP"/>
        </w:rPr>
        <w:t xml:space="preserve"> of </w:t>
      </w:r>
      <w:r w:rsidR="002E3E40">
        <w:rPr>
          <w:rFonts w:eastAsia="Times New Roman"/>
          <w:b/>
          <w:szCs w:val="20"/>
          <w:lang w:val="en-US" w:eastAsia="ja-JP"/>
        </w:rPr>
        <w:t>this pricing supplement</w:t>
      </w:r>
      <w:r w:rsidRPr="00C23812">
        <w:rPr>
          <w:rFonts w:eastAsia="Times New Roman"/>
          <w:szCs w:val="20"/>
          <w:lang w:val="en-US" w:eastAsia="ja-JP"/>
        </w:rPr>
        <w:t>.</w:t>
      </w:r>
    </w:p>
    <w:p w:rsidR="008E3991" w:rsidRPr="006F55AF" w:rsidRDefault="00350193" w:rsidP="003969C0">
      <w:pPr>
        <w:spacing w:after="120"/>
        <w:jc w:val="both"/>
        <w:rPr>
          <w:b/>
          <w:szCs w:val="20"/>
          <w:lang w:val="en-US" w:eastAsia="ja-JP"/>
        </w:rPr>
      </w:pPr>
      <w:r w:rsidRPr="006F55AF">
        <w:rPr>
          <w:b/>
          <w:szCs w:val="20"/>
        </w:rPr>
        <w:t>You may revoke your offer to purchase the Notes at any time prior</w:t>
      </w:r>
      <w:r w:rsidR="00C23812">
        <w:rPr>
          <w:b/>
          <w:szCs w:val="20"/>
        </w:rPr>
        <w:t xml:space="preserve"> to the Initial Valuation Date</w:t>
      </w:r>
      <w:r w:rsidR="00C23812" w:rsidRPr="00C23812">
        <w:rPr>
          <w:szCs w:val="20"/>
        </w:rPr>
        <w:t>.</w:t>
      </w:r>
      <w:r w:rsidRPr="006F55AF">
        <w:rPr>
          <w:b/>
          <w:szCs w:val="20"/>
        </w:rPr>
        <w:t xml:space="preserve"> We reserve the right to change the terms of</w:t>
      </w:r>
      <w:r w:rsidRPr="00C23812">
        <w:rPr>
          <w:szCs w:val="20"/>
        </w:rPr>
        <w:t>,</w:t>
      </w:r>
      <w:r w:rsidRPr="006F55AF">
        <w:rPr>
          <w:b/>
          <w:szCs w:val="20"/>
        </w:rPr>
        <w:t xml:space="preserve"> </w:t>
      </w:r>
      <w:r w:rsidR="000771B8" w:rsidRPr="000771B8">
        <w:rPr>
          <w:b/>
          <w:szCs w:val="20"/>
        </w:rPr>
        <w:t>or reject any offer to purchase</w:t>
      </w:r>
      <w:r w:rsidR="000771B8" w:rsidRPr="00C23812">
        <w:rPr>
          <w:szCs w:val="20"/>
        </w:rPr>
        <w:t>,</w:t>
      </w:r>
      <w:r w:rsidR="000771B8" w:rsidRPr="000771B8">
        <w:rPr>
          <w:b/>
          <w:szCs w:val="20"/>
        </w:rPr>
        <w:t xml:space="preserve"> the Notes prior</w:t>
      </w:r>
      <w:r w:rsidR="00C23812">
        <w:rPr>
          <w:b/>
          <w:szCs w:val="20"/>
        </w:rPr>
        <w:t xml:space="preserve"> to the Initial Valuation Date</w:t>
      </w:r>
      <w:r w:rsidR="00C23812" w:rsidRPr="00C23812">
        <w:rPr>
          <w:szCs w:val="20"/>
        </w:rPr>
        <w:t>.</w:t>
      </w:r>
      <w:r w:rsidR="000771B8" w:rsidRPr="000771B8">
        <w:rPr>
          <w:b/>
          <w:szCs w:val="20"/>
        </w:rPr>
        <w:t xml:space="preserve"> In the event of any changes to the terms of the Notes</w:t>
      </w:r>
      <w:r w:rsidR="000771B8" w:rsidRPr="00C23812">
        <w:rPr>
          <w:szCs w:val="20"/>
        </w:rPr>
        <w:t>,</w:t>
      </w:r>
      <w:r w:rsidR="000771B8" w:rsidRPr="000771B8">
        <w:rPr>
          <w:b/>
          <w:szCs w:val="20"/>
        </w:rPr>
        <w:t xml:space="preserve"> we will notify you and you will be asked to accept such changes in connecti</w:t>
      </w:r>
      <w:r w:rsidR="00C23812">
        <w:rPr>
          <w:b/>
          <w:szCs w:val="20"/>
        </w:rPr>
        <w:t>on with your purchase</w:t>
      </w:r>
      <w:r w:rsidR="00C23812" w:rsidRPr="00C23812">
        <w:rPr>
          <w:szCs w:val="20"/>
        </w:rPr>
        <w:t>.</w:t>
      </w:r>
      <w:r w:rsidR="00C23812">
        <w:rPr>
          <w:b/>
          <w:szCs w:val="20"/>
        </w:rPr>
        <w:t xml:space="preserve"> </w:t>
      </w:r>
      <w:r w:rsidR="000771B8" w:rsidRPr="000771B8">
        <w:rPr>
          <w:b/>
          <w:szCs w:val="20"/>
        </w:rPr>
        <w:t>You may also choose to reject such changes in which case we may reject your offer to purchase</w:t>
      </w:r>
      <w:r w:rsidR="000771B8" w:rsidRPr="00C23812">
        <w:rPr>
          <w:szCs w:val="20"/>
          <w:lang w:val="en-US" w:eastAsia="ja-JP"/>
        </w:rPr>
        <w:t>.</w:t>
      </w:r>
    </w:p>
    <w:p w:rsidR="008E3991" w:rsidRPr="00117B95" w:rsidRDefault="008E3991">
      <w:pPr>
        <w:pStyle w:val="BodyText2"/>
        <w:spacing w:after="80"/>
        <w:jc w:val="both"/>
        <w:rPr>
          <w:b/>
          <w:sz w:val="19"/>
          <w:szCs w:val="19"/>
        </w:rPr>
      </w:pPr>
    </w:p>
    <w:p w:rsidR="00B330EB" w:rsidRDefault="000A7489" w:rsidP="0010195C">
      <w:pPr>
        <w:pStyle w:val="HeadingB"/>
        <w:keepNext/>
        <w:rPr>
          <w:rFonts w:ascii="Times New Roman Bold" w:hAnsi="Times New Roman Bold"/>
          <w:caps/>
        </w:rPr>
      </w:pPr>
      <w:r>
        <w:br w:type="page"/>
      </w:r>
      <w:r w:rsidR="00B330EB">
        <w:rPr>
          <w:rFonts w:ascii="Times New Roman Bold" w:hAnsi="Times New Roman Bold"/>
          <w:caps/>
        </w:rPr>
        <w:t>Selected Purchase Considerations</w:t>
      </w:r>
    </w:p>
    <w:p w:rsidR="00B330EB" w:rsidRPr="00BC60A8" w:rsidRDefault="00481108" w:rsidP="0010195C">
      <w:pPr>
        <w:pStyle w:val="HeadingB"/>
        <w:keepNext/>
        <w:rPr>
          <w:b w:val="0"/>
        </w:rPr>
      </w:pPr>
      <w:r>
        <w:rPr>
          <w:b w:val="0"/>
        </w:rPr>
        <w:t>The Notes are not suitable for all investors. The Notes may be a suitable investment for you if all of the following statements are true:</w:t>
      </w:r>
    </w:p>
    <w:p w:rsidR="005D2F68" w:rsidRPr="00BC60A8" w:rsidRDefault="00481108" w:rsidP="005D2F68">
      <w:pPr>
        <w:pStyle w:val="Bullet"/>
        <w:tabs>
          <w:tab w:val="clear" w:pos="720"/>
        </w:tabs>
        <w:spacing w:after="40"/>
        <w:contextualSpacing w:val="0"/>
        <w:jc w:val="both"/>
      </w:pPr>
      <w:r>
        <w:t>You do not seek an investment that produces periodic interest or coupon payments or other sources of current income</w:t>
      </w:r>
      <w:r w:rsidR="00B9325C">
        <w:t>.</w:t>
      </w:r>
    </w:p>
    <w:p w:rsidR="005D2F68" w:rsidRPr="00BC60A8" w:rsidRDefault="00B9325C" w:rsidP="005D2F68">
      <w:pPr>
        <w:pStyle w:val="Bullet"/>
        <w:tabs>
          <w:tab w:val="clear" w:pos="720"/>
        </w:tabs>
        <w:spacing w:after="40"/>
        <w:contextualSpacing w:val="0"/>
        <w:jc w:val="both"/>
      </w:pPr>
      <w:r w:rsidRPr="00B9325C">
        <w:t xml:space="preserve">You </w:t>
      </w:r>
      <w:r w:rsidRPr="00B9325C">
        <w:rPr>
          <w:lang w:val="en-US"/>
        </w:rPr>
        <w:t xml:space="preserve">can tolerate a loss of </w:t>
      </w:r>
      <w:r>
        <w:rPr>
          <w:lang w:val="en-US"/>
        </w:rPr>
        <w:t>some</w:t>
      </w:r>
      <w:r w:rsidRPr="00B9325C">
        <w:t xml:space="preserve"> </w:t>
      </w:r>
      <w:r w:rsidR="00512051">
        <w:t xml:space="preserve">or all </w:t>
      </w:r>
      <w:r w:rsidRPr="00B9325C">
        <w:t xml:space="preserve">of </w:t>
      </w:r>
      <w:r w:rsidR="00C328DE">
        <w:t>the</w:t>
      </w:r>
      <w:r w:rsidR="00C328DE" w:rsidRPr="00B9325C">
        <w:t xml:space="preserve"> </w:t>
      </w:r>
      <w:r w:rsidRPr="00B9325C">
        <w:t>principal amount</w:t>
      </w:r>
      <w:r w:rsidR="00C328DE">
        <w:t xml:space="preserve"> of your Notes</w:t>
      </w:r>
      <w:r w:rsidRPr="00B9325C">
        <w:rPr>
          <w:lang w:val="en-US"/>
        </w:rPr>
        <w:t xml:space="preserve">, and you are willing and able to make an investment that may have the </w:t>
      </w:r>
      <w:r w:rsidR="00512051">
        <w:rPr>
          <w:lang w:val="en-US"/>
        </w:rPr>
        <w:t xml:space="preserve">full </w:t>
      </w:r>
      <w:r w:rsidRPr="00B9325C">
        <w:rPr>
          <w:lang w:val="en-US"/>
        </w:rPr>
        <w:t>downside market risk of an investment in the Least Performing Reference Asset</w:t>
      </w:r>
      <w:r>
        <w:t>.</w:t>
      </w:r>
    </w:p>
    <w:p w:rsidR="00B9325C" w:rsidRPr="00B9325C" w:rsidRDefault="00B9325C" w:rsidP="00B9325C">
      <w:pPr>
        <w:pStyle w:val="Bullet"/>
      </w:pPr>
      <w:r w:rsidRPr="00B9325C">
        <w:rPr>
          <w:lang w:val="en-US"/>
        </w:rPr>
        <w:t>You are willing and able to accept the individual market risk of each Reference Asset and understand that any decline in the value of one Reference Asset will not be offset or mitigated by a lesser decline or any potential increase in the value of any other Reference Asset.</w:t>
      </w:r>
    </w:p>
    <w:p w:rsidR="00EE0121" w:rsidRDefault="00481108" w:rsidP="00561A94">
      <w:pPr>
        <w:pStyle w:val="Bullet"/>
        <w:tabs>
          <w:tab w:val="clear" w:pos="720"/>
        </w:tabs>
        <w:spacing w:after="40"/>
        <w:contextualSpacing w:val="0"/>
        <w:jc w:val="both"/>
      </w:pPr>
      <w:r>
        <w:t xml:space="preserve">You anticipate that </w:t>
      </w:r>
      <w:r w:rsidR="00832C66">
        <w:t xml:space="preserve">the </w:t>
      </w:r>
      <w:r w:rsidR="00C328DE">
        <w:t>Final Value of the Least Performing Reference Asset</w:t>
      </w:r>
      <w:r w:rsidR="005360DA">
        <w:t xml:space="preserve"> </w:t>
      </w:r>
      <w:r w:rsidR="00832C66">
        <w:t xml:space="preserve">will be </w:t>
      </w:r>
      <w:r w:rsidR="00724520">
        <w:t xml:space="preserve">greater than </w:t>
      </w:r>
      <w:r w:rsidR="00C328DE">
        <w:t xml:space="preserve">its </w:t>
      </w:r>
      <w:r w:rsidR="00512051">
        <w:t xml:space="preserve">Barrier </w:t>
      </w:r>
      <w:r w:rsidR="00C328DE">
        <w:t>Value</w:t>
      </w:r>
      <w:r w:rsidR="00B9325C">
        <w:t>.</w:t>
      </w:r>
    </w:p>
    <w:p w:rsidR="00BC60A8" w:rsidRPr="00BC60A8" w:rsidRDefault="00BC60A8" w:rsidP="00561A94">
      <w:pPr>
        <w:pStyle w:val="Bullet"/>
        <w:tabs>
          <w:tab w:val="clear" w:pos="720"/>
        </w:tabs>
        <w:spacing w:after="40"/>
        <w:contextualSpacing w:val="0"/>
        <w:jc w:val="both"/>
      </w:pPr>
      <w:r>
        <w:t xml:space="preserve">You understand and accept the risk that the payment at maturity will be based </w:t>
      </w:r>
      <w:r w:rsidRPr="00C23812">
        <w:rPr>
          <w:i/>
        </w:rPr>
        <w:t>solely</w:t>
      </w:r>
      <w:r>
        <w:t xml:space="preserve"> on the </w:t>
      </w:r>
      <w:r w:rsidR="00512051">
        <w:t>performance</w:t>
      </w:r>
      <w:r>
        <w:t xml:space="preserve"> of the </w:t>
      </w:r>
      <w:r w:rsidR="005360DA">
        <w:t>Least Performing Reference Asset</w:t>
      </w:r>
      <w:r w:rsidR="00B9325C">
        <w:t>.</w:t>
      </w:r>
    </w:p>
    <w:p w:rsidR="00B330EB" w:rsidRDefault="00481108" w:rsidP="00561A94">
      <w:pPr>
        <w:pStyle w:val="Bullet"/>
        <w:tabs>
          <w:tab w:val="clear" w:pos="720"/>
        </w:tabs>
        <w:spacing w:after="40"/>
        <w:contextualSpacing w:val="0"/>
        <w:jc w:val="both"/>
      </w:pPr>
      <w:r>
        <w:t xml:space="preserve">You </w:t>
      </w:r>
      <w:r w:rsidR="00236DB7">
        <w:t xml:space="preserve">understand and </w:t>
      </w:r>
      <w:r>
        <w:t xml:space="preserve">are willing </w:t>
      </w:r>
      <w:r w:rsidR="00236DB7">
        <w:t xml:space="preserve">and able </w:t>
      </w:r>
      <w:r>
        <w:t xml:space="preserve">to accept the risks associated with an investment linked to the performance of the </w:t>
      </w:r>
      <w:r w:rsidR="005360DA">
        <w:t>Reference Assets</w:t>
      </w:r>
      <w:r w:rsidR="00B9325C">
        <w:t>.</w:t>
      </w:r>
    </w:p>
    <w:p w:rsidR="009A1CD9" w:rsidRPr="009A1CD9" w:rsidRDefault="0069701C" w:rsidP="009A1CD9">
      <w:pPr>
        <w:pStyle w:val="Bullet"/>
      </w:pPr>
      <w:r w:rsidRPr="0069495E">
        <w:rPr>
          <w:szCs w:val="20"/>
        </w:rPr>
        <w:t>You understand and accept that you will not be entitled to receive dividends or distributions that may be paid to holders of any Reference Asset or any securities to which any Reference Asset provides exposure, nor will you have any voting rights with respect to any Reference Asset or any securities to which any Reference Asset provides exposure.</w:t>
      </w:r>
    </w:p>
    <w:p w:rsidR="00182308" w:rsidRPr="00BC60A8" w:rsidRDefault="00182308" w:rsidP="00561A94">
      <w:pPr>
        <w:pStyle w:val="Bullet"/>
        <w:tabs>
          <w:tab w:val="clear" w:pos="720"/>
        </w:tabs>
        <w:spacing w:after="40"/>
        <w:contextualSpacing w:val="0"/>
        <w:jc w:val="both"/>
      </w:pPr>
      <w:r>
        <w:t xml:space="preserve">You can tolerate fluctuations in the price of the Notes prior to scheduled maturity that may be similar to or exceed the downside fluctuations in the value of the Reference Assets. </w:t>
      </w:r>
    </w:p>
    <w:p w:rsidR="00B330EB" w:rsidRPr="00BC60A8" w:rsidRDefault="00481108" w:rsidP="00561A94">
      <w:pPr>
        <w:pStyle w:val="Bullet"/>
        <w:tabs>
          <w:tab w:val="clear" w:pos="720"/>
        </w:tabs>
        <w:spacing w:after="40"/>
        <w:ind w:left="714" w:hanging="357"/>
        <w:contextualSpacing w:val="0"/>
        <w:jc w:val="both"/>
      </w:pPr>
      <w:r>
        <w:t>You do not seek an investment for which there will be an active secondary market</w:t>
      </w:r>
      <w:r w:rsidR="00F85D78">
        <w:t>,</w:t>
      </w:r>
      <w:r>
        <w:t xml:space="preserve"> and you are willing and able to hold the Notes to maturity</w:t>
      </w:r>
      <w:r w:rsidR="00B9325C">
        <w:t>.</w:t>
      </w:r>
    </w:p>
    <w:p w:rsidR="00B330EB" w:rsidRPr="00BC60A8" w:rsidRDefault="00481108" w:rsidP="00561A94">
      <w:pPr>
        <w:pStyle w:val="Bullet"/>
        <w:tabs>
          <w:tab w:val="clear" w:pos="720"/>
        </w:tabs>
        <w:spacing w:after="40"/>
        <w:ind w:left="714" w:hanging="357"/>
        <w:contextualSpacing w:val="0"/>
        <w:jc w:val="both"/>
      </w:pPr>
      <w:r>
        <w:t xml:space="preserve">You are willing </w:t>
      </w:r>
      <w:r w:rsidR="009A1CD9">
        <w:t xml:space="preserve">and able </w:t>
      </w:r>
      <w:r>
        <w:t>to assume our credit risk for all payments on the Notes</w:t>
      </w:r>
      <w:r w:rsidR="00B9325C">
        <w:t>.</w:t>
      </w:r>
    </w:p>
    <w:p w:rsidR="00B330EB" w:rsidRPr="00BC60A8" w:rsidRDefault="00481108" w:rsidP="0010195C">
      <w:pPr>
        <w:pStyle w:val="Bullet"/>
        <w:tabs>
          <w:tab w:val="clear" w:pos="720"/>
        </w:tabs>
        <w:contextualSpacing w:val="0"/>
        <w:jc w:val="both"/>
      </w:pPr>
      <w:r>
        <w:t xml:space="preserve">You are willing </w:t>
      </w:r>
      <w:r w:rsidR="009A1CD9">
        <w:t xml:space="preserve">and able </w:t>
      </w:r>
      <w:r>
        <w:t>to consent to the exercise of any U.K. Bail-in Power by any relevant U.K. resolution authority</w:t>
      </w:r>
      <w:r w:rsidR="00B9325C">
        <w:t>.</w:t>
      </w:r>
    </w:p>
    <w:p w:rsidR="00B330EB" w:rsidRPr="00BC60A8" w:rsidRDefault="00481108" w:rsidP="0010195C">
      <w:pPr>
        <w:pStyle w:val="HeadingB"/>
        <w:keepNext/>
        <w:jc w:val="both"/>
        <w:rPr>
          <w:b w:val="0"/>
        </w:rPr>
      </w:pPr>
      <w:r>
        <w:rPr>
          <w:b w:val="0"/>
        </w:rPr>
        <w:t xml:space="preserve">The Notes may </w:t>
      </w:r>
      <w:r>
        <w:rPr>
          <w:b w:val="0"/>
          <w:u w:val="single"/>
        </w:rPr>
        <w:t>not</w:t>
      </w:r>
      <w:r>
        <w:rPr>
          <w:b w:val="0"/>
        </w:rPr>
        <w:t xml:space="preserve"> be a suitable investment for you if </w:t>
      </w:r>
      <w:r>
        <w:rPr>
          <w:b w:val="0"/>
          <w:i/>
        </w:rPr>
        <w:t>any</w:t>
      </w:r>
      <w:r>
        <w:rPr>
          <w:b w:val="0"/>
        </w:rPr>
        <w:t xml:space="preserve"> of the following statements are true:</w:t>
      </w:r>
    </w:p>
    <w:p w:rsidR="00380638" w:rsidRPr="00BC60A8" w:rsidRDefault="00481108" w:rsidP="00AB5E8E">
      <w:pPr>
        <w:pStyle w:val="Bullet"/>
        <w:tabs>
          <w:tab w:val="clear" w:pos="720"/>
        </w:tabs>
        <w:spacing w:after="40"/>
        <w:contextualSpacing w:val="0"/>
        <w:jc w:val="both"/>
      </w:pPr>
      <w:r>
        <w:t>You seek an investment that produces periodic interest or coupon payments or other sources of current income</w:t>
      </w:r>
      <w:r w:rsidR="00B9325C">
        <w:t>.</w:t>
      </w:r>
    </w:p>
    <w:p w:rsidR="00B330EB" w:rsidRPr="00BC60A8" w:rsidRDefault="00481108" w:rsidP="00AB5E8E">
      <w:pPr>
        <w:pStyle w:val="Bullet"/>
        <w:tabs>
          <w:tab w:val="clear" w:pos="720"/>
        </w:tabs>
        <w:spacing w:after="40"/>
        <w:contextualSpacing w:val="0"/>
        <w:jc w:val="both"/>
      </w:pPr>
      <w:r>
        <w:t>You seek an investment that provides for the full repayment of principal at maturity</w:t>
      </w:r>
      <w:r w:rsidR="00236DB7">
        <w:t>,</w:t>
      </w:r>
      <w:r>
        <w:t xml:space="preserve"> and</w:t>
      </w:r>
      <w:r w:rsidR="00236DB7">
        <w:t>/or</w:t>
      </w:r>
      <w:r>
        <w:t xml:space="preserve"> you are unwilling </w:t>
      </w:r>
      <w:r w:rsidR="00236DB7">
        <w:t xml:space="preserve">or unable </w:t>
      </w:r>
      <w:r>
        <w:t xml:space="preserve">to accept the risk that you may lose </w:t>
      </w:r>
      <w:r w:rsidR="00512051">
        <w:t>some or all</w:t>
      </w:r>
      <w:r w:rsidR="00463A23">
        <w:t xml:space="preserve"> </w:t>
      </w:r>
      <w:r>
        <w:t>of the principal amount of your Notes</w:t>
      </w:r>
      <w:r w:rsidR="00236DB7" w:rsidRPr="00236DB7">
        <w:rPr>
          <w:szCs w:val="20"/>
          <w:lang w:val="en-US"/>
        </w:rPr>
        <w:t xml:space="preserve"> </w:t>
      </w:r>
      <w:r w:rsidR="00236DB7" w:rsidRPr="00236DB7">
        <w:rPr>
          <w:lang w:val="en-US"/>
        </w:rPr>
        <w:t>in the event that the Final Value of the Least Performing Reference Asset falls below its Barrier Value</w:t>
      </w:r>
      <w:r w:rsidR="00B9325C">
        <w:t>.</w:t>
      </w:r>
    </w:p>
    <w:p w:rsidR="00B330EB" w:rsidRDefault="00481108" w:rsidP="00AB5E8E">
      <w:pPr>
        <w:pStyle w:val="Bullet"/>
        <w:tabs>
          <w:tab w:val="clear" w:pos="720"/>
        </w:tabs>
        <w:spacing w:after="40"/>
        <w:contextualSpacing w:val="0"/>
        <w:jc w:val="both"/>
      </w:pPr>
      <w:r>
        <w:t xml:space="preserve">You anticipate that the </w:t>
      </w:r>
      <w:r w:rsidR="00C328DE">
        <w:t xml:space="preserve">Final Value of the Least Performing Reference Asset will be </w:t>
      </w:r>
      <w:r w:rsidR="00512051">
        <w:t xml:space="preserve">less </w:t>
      </w:r>
      <w:r w:rsidR="00C328DE">
        <w:t xml:space="preserve">than its </w:t>
      </w:r>
      <w:r w:rsidR="00512051">
        <w:t xml:space="preserve">Barrier </w:t>
      </w:r>
      <w:r w:rsidR="00C328DE">
        <w:t>Value</w:t>
      </w:r>
      <w:r w:rsidR="00512051">
        <w:t xml:space="preserve"> on the Final Valuation Date</w:t>
      </w:r>
      <w:r w:rsidR="00B9325C">
        <w:t>.</w:t>
      </w:r>
    </w:p>
    <w:p w:rsidR="00BC60A8" w:rsidRPr="00BC60A8" w:rsidRDefault="00BC60A8" w:rsidP="00AB5E8E">
      <w:pPr>
        <w:pStyle w:val="Bullet"/>
        <w:tabs>
          <w:tab w:val="clear" w:pos="720"/>
        </w:tabs>
        <w:spacing w:after="40"/>
        <w:contextualSpacing w:val="0"/>
        <w:jc w:val="both"/>
      </w:pPr>
      <w:r>
        <w:t>You are unwilling or unable to accept the risk that</w:t>
      </w:r>
      <w:r w:rsidR="00F25B03">
        <w:t xml:space="preserve"> the</w:t>
      </w:r>
      <w:r>
        <w:t xml:space="preserve"> negative performance of </w:t>
      </w:r>
      <w:r w:rsidR="00BB0F96">
        <w:rPr>
          <w:i/>
        </w:rPr>
        <w:t>any</w:t>
      </w:r>
      <w:r w:rsidR="00BB0F96" w:rsidRPr="00C23812">
        <w:rPr>
          <w:i/>
        </w:rPr>
        <w:t xml:space="preserve"> </w:t>
      </w:r>
      <w:r w:rsidRPr="00C23812">
        <w:rPr>
          <w:i/>
        </w:rPr>
        <w:t>one</w:t>
      </w:r>
      <w:r>
        <w:t xml:space="preserve"> </w:t>
      </w:r>
      <w:r w:rsidR="005360DA">
        <w:t xml:space="preserve">Reference Asset </w:t>
      </w:r>
      <w:r>
        <w:t>may cause you to</w:t>
      </w:r>
      <w:r w:rsidR="00EE41DB">
        <w:t xml:space="preserve"> earn no positive return or to </w:t>
      </w:r>
      <w:r>
        <w:t xml:space="preserve">suffer a loss of principal at maturity, regardless of the performance of the other </w:t>
      </w:r>
      <w:r w:rsidR="005360DA">
        <w:t>Reference Asset</w:t>
      </w:r>
      <w:r w:rsidR="00B9325C">
        <w:t>.</w:t>
      </w:r>
    </w:p>
    <w:p w:rsidR="0032085C" w:rsidRDefault="00236DB7">
      <w:pPr>
        <w:pStyle w:val="Bullet"/>
        <w:tabs>
          <w:tab w:val="clear" w:pos="720"/>
        </w:tabs>
        <w:spacing w:after="40"/>
        <w:contextualSpacing w:val="0"/>
        <w:jc w:val="both"/>
        <w:rPr>
          <w:lang w:val="en-US"/>
        </w:rPr>
      </w:pPr>
      <w:r w:rsidRPr="00236DB7">
        <w:t xml:space="preserve">You </w:t>
      </w:r>
      <w:r w:rsidRPr="00236DB7">
        <w:rPr>
          <w:lang w:val="en-US"/>
        </w:rPr>
        <w:t xml:space="preserve">are </w:t>
      </w:r>
      <w:r w:rsidR="005A412E" w:rsidRPr="005A412E">
        <w:t>unwilling</w:t>
      </w:r>
      <w:r w:rsidRPr="00236DB7">
        <w:rPr>
          <w:lang w:val="en-US"/>
        </w:rPr>
        <w:t xml:space="preserve"> or unable to accept the individual market risk of each Reference Asset and/or do not understand that any decline in the value of one Reference Asset will not be offset or mitigated by a lesser decline or any potential increase in the value of any other Reference Asset.</w:t>
      </w:r>
    </w:p>
    <w:p w:rsidR="002B589B" w:rsidRPr="00BC60A8" w:rsidRDefault="002B589B" w:rsidP="002B589B">
      <w:pPr>
        <w:pStyle w:val="Bullet"/>
        <w:tabs>
          <w:tab w:val="clear" w:pos="720"/>
        </w:tabs>
        <w:spacing w:after="40"/>
        <w:contextualSpacing w:val="0"/>
        <w:jc w:val="both"/>
      </w:pPr>
      <w:r>
        <w:t xml:space="preserve">You cannot tolerate fluctuations in the price of the Notes prior to scheduled maturity that may be similar to or exceed the downside fluctuations in the value of the Reference Assets. </w:t>
      </w:r>
    </w:p>
    <w:p w:rsidR="00B330EB" w:rsidRPr="00BC60A8" w:rsidRDefault="00236DB7" w:rsidP="00236DB7">
      <w:pPr>
        <w:pStyle w:val="Bullet"/>
        <w:tabs>
          <w:tab w:val="clear" w:pos="720"/>
        </w:tabs>
        <w:spacing w:after="40"/>
        <w:contextualSpacing w:val="0"/>
        <w:jc w:val="both"/>
      </w:pPr>
      <w:r w:rsidRPr="00236DB7">
        <w:rPr>
          <w:lang w:val="en-US"/>
        </w:rPr>
        <w:t>You do not understand and/or</w:t>
      </w:r>
      <w:r w:rsidR="00481108">
        <w:t xml:space="preserve"> are unwilling or unable to accept the risks associated with an investment linked to the performance of the </w:t>
      </w:r>
      <w:r w:rsidR="005360DA">
        <w:t>Reference Assets</w:t>
      </w:r>
      <w:r w:rsidR="00B9325C">
        <w:t>.</w:t>
      </w:r>
    </w:p>
    <w:p w:rsidR="0069701C" w:rsidRDefault="0069701C" w:rsidP="00AB5E8E">
      <w:pPr>
        <w:pStyle w:val="Bullet"/>
        <w:tabs>
          <w:tab w:val="clear" w:pos="720"/>
        </w:tabs>
        <w:spacing w:after="40"/>
        <w:ind w:left="714" w:hanging="357"/>
        <w:contextualSpacing w:val="0"/>
        <w:jc w:val="both"/>
      </w:pPr>
      <w:r>
        <w:t>You seek an investment that entitles you to dividends or distributions on, or voting rights related to any Reference Asset or any securities to which any Reference Asset provides exposure.</w:t>
      </w:r>
    </w:p>
    <w:p w:rsidR="00B330EB" w:rsidRPr="00BC60A8" w:rsidRDefault="00481108" w:rsidP="00AB5E8E">
      <w:pPr>
        <w:pStyle w:val="Bullet"/>
        <w:tabs>
          <w:tab w:val="clear" w:pos="720"/>
        </w:tabs>
        <w:spacing w:after="40"/>
        <w:ind w:left="714" w:hanging="357"/>
        <w:contextualSpacing w:val="0"/>
        <w:jc w:val="both"/>
      </w:pPr>
      <w:r>
        <w:t>You seek an investment for which there will be an active secondary market</w:t>
      </w:r>
      <w:r w:rsidR="00182308">
        <w:t>,</w:t>
      </w:r>
      <w:r>
        <w:t xml:space="preserve"> and/or you are unwilling or unable to hold the Notes to maturity</w:t>
      </w:r>
      <w:r w:rsidR="00B9325C">
        <w:t>.</w:t>
      </w:r>
    </w:p>
    <w:p w:rsidR="002B589B" w:rsidRDefault="002B589B" w:rsidP="00AB5E8E">
      <w:pPr>
        <w:pStyle w:val="Bullet"/>
        <w:tabs>
          <w:tab w:val="clear" w:pos="720"/>
        </w:tabs>
        <w:spacing w:after="40"/>
        <w:contextualSpacing w:val="0"/>
        <w:jc w:val="both"/>
      </w:pPr>
      <w:r>
        <w:t xml:space="preserve">You prefer the lower risk, and therefore accept the potentially lower returns, of fixed income investments with comparable maturities and credit ratings. </w:t>
      </w:r>
    </w:p>
    <w:p w:rsidR="00B330EB" w:rsidRPr="00BC60A8" w:rsidRDefault="00481108" w:rsidP="00AB5E8E">
      <w:pPr>
        <w:pStyle w:val="Bullet"/>
        <w:tabs>
          <w:tab w:val="clear" w:pos="720"/>
        </w:tabs>
        <w:spacing w:after="40"/>
        <w:contextualSpacing w:val="0"/>
        <w:jc w:val="both"/>
      </w:pPr>
      <w:r>
        <w:t>You are unwilling or unable to assume our credit risk for all payments on the Notes</w:t>
      </w:r>
      <w:r w:rsidR="00B9325C">
        <w:t>.</w:t>
      </w:r>
    </w:p>
    <w:p w:rsidR="00B330EB" w:rsidRPr="00BC60A8" w:rsidRDefault="00481108" w:rsidP="0010195C">
      <w:pPr>
        <w:pStyle w:val="Bullet"/>
        <w:tabs>
          <w:tab w:val="clear" w:pos="720"/>
        </w:tabs>
        <w:contextualSpacing w:val="0"/>
        <w:jc w:val="both"/>
      </w:pPr>
      <w:r>
        <w:t>You are unwilling or unable to consent to the exercise of any U.K. Bail-in Power by any relevant U.K. resolution authority</w:t>
      </w:r>
      <w:r w:rsidR="00B9325C">
        <w:t>.</w:t>
      </w:r>
    </w:p>
    <w:p w:rsidR="00AF0FCA" w:rsidRDefault="00B330EB" w:rsidP="00AF0FCA">
      <w:pPr>
        <w:pStyle w:val="HeadingB"/>
        <w:spacing w:after="240"/>
        <w:jc w:val="both"/>
        <w:rPr>
          <w:b w:val="0"/>
        </w:rPr>
      </w:pPr>
      <w:r w:rsidRPr="00446A1D">
        <w:rPr>
          <w:i/>
        </w:rPr>
        <w:t>You must rely on your own evaluation of the merits of an investment in the Notes</w:t>
      </w:r>
      <w:r w:rsidR="00C23812">
        <w:rPr>
          <w:b w:val="0"/>
        </w:rPr>
        <w:t>.</w:t>
      </w:r>
      <w:r w:rsidRPr="00446A1D">
        <w:rPr>
          <w:b w:val="0"/>
        </w:rPr>
        <w:t xml:space="preserve"> You should reach a decision whether to invest in the Notes after carefully considering, with your advisors, the suitability of the Notes in light of your investment objectives and the specific information set out in </w:t>
      </w:r>
      <w:r w:rsidR="002E3E40">
        <w:rPr>
          <w:b w:val="0"/>
        </w:rPr>
        <w:t>this pricing supplement</w:t>
      </w:r>
      <w:r w:rsidR="0069701C" w:rsidRPr="0069701C">
        <w:rPr>
          <w:b w:val="0"/>
          <w:szCs w:val="20"/>
        </w:rPr>
        <w:t xml:space="preserve"> </w:t>
      </w:r>
      <w:r w:rsidR="0069701C">
        <w:rPr>
          <w:b w:val="0"/>
          <w:szCs w:val="20"/>
        </w:rPr>
        <w:t>and the documents referenced under “Additional Documents Related to the Offering of the Notes” in this pricing supplement</w:t>
      </w:r>
      <w:r w:rsidRPr="00446A1D">
        <w:rPr>
          <w:b w:val="0"/>
        </w:rPr>
        <w:t>. Neither the Issuer nor Barclays Capital Inc. makes any recommendation as to the suitability of the Notes for investment.</w:t>
      </w:r>
    </w:p>
    <w:p w:rsidR="00AF0FCA" w:rsidRDefault="00B330EB" w:rsidP="00AF0FCA">
      <w:pPr>
        <w:pStyle w:val="HeadingB"/>
        <w:keepNext/>
        <w:keepLines/>
        <w:rPr>
          <w:rFonts w:ascii="Times New Roman Bold" w:hAnsi="Times New Roman Bold"/>
          <w:caps/>
        </w:rPr>
      </w:pPr>
      <w:r w:rsidRPr="00446A1D">
        <w:rPr>
          <w:rFonts w:ascii="Times New Roman Bold" w:hAnsi="Times New Roman Bold"/>
          <w:caps/>
        </w:rPr>
        <w:t>ADDITIONAL TERMS OF THE NOTES</w:t>
      </w:r>
    </w:p>
    <w:p w:rsidR="00AF0FCA" w:rsidRDefault="00481108" w:rsidP="00AF0FCA">
      <w:pPr>
        <w:pStyle w:val="Bullet"/>
        <w:keepNext/>
        <w:keepLines/>
        <w:numPr>
          <w:ilvl w:val="0"/>
          <w:numId w:val="0"/>
        </w:numPr>
        <w:contextualSpacing w:val="0"/>
        <w:jc w:val="both"/>
      </w:pPr>
      <w:r>
        <w:t xml:space="preserve">The Final Valuation Date and the Maturity Date are subject to postponement in certain circumstances, as described </w:t>
      </w:r>
      <w:r w:rsidRPr="00BF3A59">
        <w:t>under</w:t>
      </w:r>
      <w:r w:rsidR="00AA4942" w:rsidRPr="00BF3A59">
        <w:t xml:space="preserve"> “Reference Assets—</w:t>
      </w:r>
      <w:r w:rsidR="00AA4942" w:rsidRPr="00C67381">
        <w:t>Exchange-Traded Funds</w:t>
      </w:r>
      <w:r w:rsidR="00AA4942" w:rsidRPr="00BF3A59">
        <w:t xml:space="preserve">—Market Disruption Events for Securities with an </w:t>
      </w:r>
      <w:r w:rsidR="00AA4942" w:rsidRPr="00C67381">
        <w:t>Exchange-Traded Fund that Holds</w:t>
      </w:r>
      <w:r w:rsidR="00AA4942" w:rsidRPr="00BF3A59">
        <w:t xml:space="preserve"> Equity</w:t>
      </w:r>
      <w:r w:rsidR="00AA4942" w:rsidRPr="00AA4942">
        <w:t xml:space="preserve"> Securities as a Reference Asset” and</w:t>
      </w:r>
      <w:r>
        <w:t xml:space="preserve"> “Reference Assets—</w:t>
      </w:r>
      <w:r w:rsidR="00362093" w:rsidRPr="00362093">
        <w:t xml:space="preserve">Least or Best </w:t>
      </w:r>
      <w:r w:rsidR="00E935A7">
        <w:t xml:space="preserve">Performing </w:t>
      </w:r>
      <w:r w:rsidR="00362093" w:rsidRPr="00362093">
        <w:t>Reference Asset</w:t>
      </w:r>
      <w:r>
        <w:t>—</w:t>
      </w:r>
      <w:r w:rsidR="00362093" w:rsidRPr="00362093">
        <w:t xml:space="preserve">Scheduled Trading Days and </w:t>
      </w:r>
      <w:r>
        <w:t xml:space="preserve">Market Disruption Events for Securities </w:t>
      </w:r>
      <w:r w:rsidR="00BC60A8">
        <w:t>L</w:t>
      </w:r>
      <w:r w:rsidR="00362093" w:rsidRPr="00362093">
        <w:t xml:space="preserve">inked to the </w:t>
      </w:r>
      <w:r>
        <w:t>Reference Asset</w:t>
      </w:r>
      <w:r w:rsidR="00362093" w:rsidRPr="00362093">
        <w:t xml:space="preserve"> with the Lowest or Highest Return in a Group of Two or More Equity Securities, Exchange-Traded Funds and/or Indices of Equity Securities</w:t>
      </w:r>
      <w:r>
        <w:t>” and “Terms of the Notes</w:t>
      </w:r>
      <w:r>
        <w:rPr>
          <w:szCs w:val="20"/>
        </w:rPr>
        <w:t xml:space="preserve">—Payment Dates” </w:t>
      </w:r>
      <w:r>
        <w:t>in the accompanying prospectus supplement.</w:t>
      </w:r>
    </w:p>
    <w:p w:rsidR="00B330EB" w:rsidRPr="0008324C" w:rsidRDefault="00481108" w:rsidP="0019079D">
      <w:pPr>
        <w:pStyle w:val="Bullet"/>
        <w:numPr>
          <w:ilvl w:val="0"/>
          <w:numId w:val="0"/>
        </w:numPr>
        <w:jc w:val="both"/>
      </w:pPr>
      <w:r>
        <w:t xml:space="preserve">In addition, </w:t>
      </w:r>
      <w:r w:rsidR="000D1DB2">
        <w:t xml:space="preserve">the </w:t>
      </w:r>
      <w:r w:rsidR="005360DA">
        <w:t>Reference Assets</w:t>
      </w:r>
      <w:r w:rsidR="00362093" w:rsidRPr="00362093">
        <w:t xml:space="preserve"> </w:t>
      </w:r>
      <w:r>
        <w:t xml:space="preserve">and the Notes are subject to adjustment by the Calculation Agent under certain circumstances, as described under </w:t>
      </w:r>
      <w:r w:rsidR="005360DA">
        <w:rPr>
          <w:szCs w:val="20"/>
        </w:rPr>
        <w:t xml:space="preserve">“Reference Assets—Exchange-Traded Funds—Adjustments Relating to Securities with an Exchange-Traded Fund as a Reference Asset” </w:t>
      </w:r>
      <w:r w:rsidR="00362093" w:rsidRPr="00362093">
        <w:t>in</w:t>
      </w:r>
      <w:r>
        <w:t xml:space="preserve"> the accompanying prospectus supplement.</w:t>
      </w:r>
      <w:r w:rsidR="00B330EB">
        <w:br w:type="page"/>
      </w:r>
    </w:p>
    <w:p w:rsidR="00676372" w:rsidRDefault="000A7489" w:rsidP="0010195C">
      <w:pPr>
        <w:pStyle w:val="HeadingA"/>
      </w:pPr>
      <w:r>
        <w:t xml:space="preserve">HYPOTHETICAL EXAMPLES OF </w:t>
      </w:r>
      <w:r w:rsidR="00350193">
        <w:t>AMOUNTS PAYABLE A</w:t>
      </w:r>
      <w:r>
        <w:t>T MATURITY</w:t>
      </w:r>
    </w:p>
    <w:p w:rsidR="00C32B87" w:rsidRDefault="000A7489" w:rsidP="0010195C">
      <w:pPr>
        <w:pStyle w:val="HeadingB"/>
        <w:jc w:val="both"/>
        <w:rPr>
          <w:b w:val="0"/>
        </w:rPr>
      </w:pPr>
      <w:r>
        <w:rPr>
          <w:b w:val="0"/>
        </w:rPr>
        <w:t xml:space="preserve">The following table illustrates the hypothetical </w:t>
      </w:r>
      <w:r w:rsidR="003B1817">
        <w:rPr>
          <w:b w:val="0"/>
        </w:rPr>
        <w:t>payment</w:t>
      </w:r>
      <w:r>
        <w:rPr>
          <w:b w:val="0"/>
        </w:rPr>
        <w:t xml:space="preserve"> at maturity</w:t>
      </w:r>
      <w:r w:rsidR="00927B4F">
        <w:rPr>
          <w:b w:val="0"/>
        </w:rPr>
        <w:t xml:space="preserve"> under various circumstances</w:t>
      </w:r>
      <w:r w:rsidR="00C23812">
        <w:rPr>
          <w:b w:val="0"/>
        </w:rPr>
        <w:t>.</w:t>
      </w:r>
      <w:r>
        <w:rPr>
          <w:b w:val="0"/>
        </w:rPr>
        <w:t xml:space="preserve"> The “total return” as used in </w:t>
      </w:r>
      <w:r w:rsidR="003B1817">
        <w:rPr>
          <w:b w:val="0"/>
        </w:rPr>
        <w:t>these examples</w:t>
      </w:r>
      <w:r>
        <w:rPr>
          <w:b w:val="0"/>
        </w:rPr>
        <w:t xml:space="preserve"> is the number, expressed as a percentage, that results from comparing the payment at maturity per $1,000 p</w:t>
      </w:r>
      <w:r w:rsidR="00C23812">
        <w:rPr>
          <w:b w:val="0"/>
        </w:rPr>
        <w:t>rincipal amount Note to $1,000.</w:t>
      </w:r>
      <w:r>
        <w:rPr>
          <w:b w:val="0"/>
        </w:rPr>
        <w:t xml:space="preserve"> The hypothetical total returns set forth below are for illustrative purposes only and may not be the actual total returns applicable to a purchaser of the Notes. The numbers appearing in the following table and examples have bee</w:t>
      </w:r>
      <w:r w:rsidR="00C23812">
        <w:rPr>
          <w:b w:val="0"/>
        </w:rPr>
        <w:t>n rounded for ease of analysis.</w:t>
      </w:r>
      <w:r>
        <w:rPr>
          <w:b w:val="0"/>
        </w:rPr>
        <w:t xml:space="preserve"> The hypothetical examples below do not take into account any tax consequences from investing in the Notes and make the following key assumption</w:t>
      </w:r>
      <w:r w:rsidR="00512051">
        <w:rPr>
          <w:b w:val="0"/>
        </w:rPr>
        <w:t>s</w:t>
      </w:r>
      <w:r>
        <w:rPr>
          <w:b w:val="0"/>
        </w:rPr>
        <w:t>:</w:t>
      </w:r>
    </w:p>
    <w:p w:rsidR="006C6E2D" w:rsidRPr="006B0B8C" w:rsidRDefault="008001FD" w:rsidP="0010195C">
      <w:pPr>
        <w:pStyle w:val="HeadingB"/>
        <w:numPr>
          <w:ilvl w:val="0"/>
          <w:numId w:val="14"/>
        </w:numPr>
        <w:contextualSpacing/>
        <w:rPr>
          <w:b w:val="0"/>
          <w:szCs w:val="20"/>
        </w:rPr>
      </w:pPr>
      <w:r w:rsidRPr="00C23812">
        <w:rPr>
          <w:b w:val="0"/>
          <w:i/>
        </w:rPr>
        <w:t>Hypothetical</w:t>
      </w:r>
      <w:r>
        <w:rPr>
          <w:b w:val="0"/>
        </w:rPr>
        <w:t xml:space="preserve"> Initial </w:t>
      </w:r>
      <w:r w:rsidR="00B9325C">
        <w:rPr>
          <w:b w:val="0"/>
        </w:rPr>
        <w:t>Value</w:t>
      </w:r>
      <w:r w:rsidR="00552A2B">
        <w:rPr>
          <w:b w:val="0"/>
        </w:rPr>
        <w:t xml:space="preserve"> of each </w:t>
      </w:r>
      <w:r w:rsidR="00724520">
        <w:rPr>
          <w:b w:val="0"/>
        </w:rPr>
        <w:t>Reference Asset</w:t>
      </w:r>
      <w:r>
        <w:rPr>
          <w:b w:val="0"/>
        </w:rPr>
        <w:t>:</w:t>
      </w:r>
      <w:r>
        <w:rPr>
          <w:b w:val="0"/>
          <w:szCs w:val="20"/>
        </w:rPr>
        <w:t xml:space="preserve"> 100.00</w:t>
      </w:r>
      <w:r w:rsidR="00BB0F96">
        <w:rPr>
          <w:b w:val="0"/>
          <w:szCs w:val="20"/>
        </w:rPr>
        <w:t xml:space="preserve"> </w:t>
      </w:r>
      <w:r>
        <w:rPr>
          <w:b w:val="0"/>
          <w:szCs w:val="20"/>
        </w:rPr>
        <w:t>*</w:t>
      </w:r>
      <w:r w:rsidR="006C6E2D" w:rsidRPr="006C6E2D">
        <w:rPr>
          <w:b w:val="0"/>
          <w:i/>
        </w:rPr>
        <w:t xml:space="preserve"> </w:t>
      </w:r>
    </w:p>
    <w:p w:rsidR="008678CA" w:rsidRDefault="006C6E2D" w:rsidP="0010195C">
      <w:pPr>
        <w:pStyle w:val="HeadingB"/>
        <w:numPr>
          <w:ilvl w:val="0"/>
          <w:numId w:val="14"/>
        </w:numPr>
        <w:contextualSpacing/>
        <w:rPr>
          <w:b w:val="0"/>
          <w:szCs w:val="20"/>
        </w:rPr>
      </w:pPr>
      <w:r w:rsidRPr="00C23812">
        <w:rPr>
          <w:b w:val="0"/>
          <w:i/>
        </w:rPr>
        <w:t>Hypothetical</w:t>
      </w:r>
      <w:r>
        <w:rPr>
          <w:b w:val="0"/>
        </w:rPr>
        <w:t xml:space="preserve"> </w:t>
      </w:r>
      <w:r w:rsidR="0022262B">
        <w:rPr>
          <w:b w:val="0"/>
        </w:rPr>
        <w:t xml:space="preserve">Barrier </w:t>
      </w:r>
      <w:r>
        <w:rPr>
          <w:b w:val="0"/>
        </w:rPr>
        <w:t>Value of each Reference Asset:</w:t>
      </w:r>
      <w:r>
        <w:rPr>
          <w:b w:val="0"/>
          <w:szCs w:val="20"/>
        </w:rPr>
        <w:t xml:space="preserve"> 70.00 (70.00% of the hypothetical Initial Value set forth above)*</w:t>
      </w:r>
    </w:p>
    <w:p w:rsidR="00CF2371" w:rsidRPr="00CF2371" w:rsidRDefault="00CF2371" w:rsidP="0010195C">
      <w:pPr>
        <w:pStyle w:val="HeadingB"/>
        <w:numPr>
          <w:ilvl w:val="0"/>
          <w:numId w:val="14"/>
        </w:numPr>
        <w:contextualSpacing/>
        <w:rPr>
          <w:b w:val="0"/>
          <w:szCs w:val="20"/>
        </w:rPr>
      </w:pPr>
      <w:r w:rsidRPr="00253D30">
        <w:rPr>
          <w:b w:val="0"/>
        </w:rPr>
        <w:t xml:space="preserve">Upside Leverage Factor: </w:t>
      </w:r>
      <w:r w:rsidR="007C5E04">
        <w:rPr>
          <w:b w:val="0"/>
        </w:rPr>
        <w:t>2.60</w:t>
      </w:r>
    </w:p>
    <w:p w:rsidR="002563A8" w:rsidRDefault="00935AF9" w:rsidP="0010195C">
      <w:pPr>
        <w:spacing w:after="120"/>
        <w:ind w:left="288" w:hanging="288"/>
        <w:jc w:val="both"/>
        <w:rPr>
          <w:szCs w:val="20"/>
          <w:lang w:val="en-US" w:eastAsia="ja-JP"/>
        </w:rPr>
      </w:pPr>
      <w:r>
        <w:rPr>
          <w:szCs w:val="20"/>
          <w:lang w:val="en-US" w:eastAsia="ja-JP"/>
        </w:rPr>
        <w:t>*</w:t>
      </w:r>
      <w:r w:rsidR="00C23812">
        <w:rPr>
          <w:szCs w:val="20"/>
          <w:lang w:val="en-US" w:eastAsia="ja-JP"/>
        </w:rPr>
        <w:t xml:space="preserve"> </w:t>
      </w:r>
      <w:r w:rsidR="00C23812">
        <w:rPr>
          <w:szCs w:val="20"/>
          <w:lang w:val="en-US" w:eastAsia="ja-JP"/>
        </w:rPr>
        <w:tab/>
      </w:r>
      <w:r>
        <w:rPr>
          <w:szCs w:val="20"/>
          <w:lang w:val="en-US" w:eastAsia="ja-JP"/>
        </w:rPr>
        <w:t xml:space="preserve">The </w:t>
      </w:r>
      <w:r w:rsidRPr="00C23812">
        <w:rPr>
          <w:b/>
          <w:bCs/>
          <w:i/>
          <w:szCs w:val="20"/>
          <w:lang w:val="en-US" w:eastAsia="ja-JP"/>
        </w:rPr>
        <w:t>hypothetical</w:t>
      </w:r>
      <w:r>
        <w:rPr>
          <w:szCs w:val="20"/>
          <w:lang w:val="en-US" w:eastAsia="ja-JP"/>
        </w:rPr>
        <w:t xml:space="preserve"> Initial </w:t>
      </w:r>
      <w:r w:rsidR="00B9325C">
        <w:rPr>
          <w:szCs w:val="20"/>
          <w:lang w:val="en-US" w:eastAsia="ja-JP"/>
        </w:rPr>
        <w:t>Value</w:t>
      </w:r>
      <w:r>
        <w:rPr>
          <w:szCs w:val="20"/>
          <w:lang w:val="en-US" w:eastAsia="ja-JP"/>
        </w:rPr>
        <w:t xml:space="preserve"> of 100.00 </w:t>
      </w:r>
      <w:r w:rsidR="006C6E2D">
        <w:rPr>
          <w:szCs w:val="20"/>
          <w:lang w:val="en-US" w:eastAsia="ja-JP"/>
        </w:rPr>
        <w:t xml:space="preserve">and </w:t>
      </w:r>
      <w:r w:rsidR="00CC2AF3">
        <w:rPr>
          <w:szCs w:val="20"/>
          <w:lang w:val="en-US" w:eastAsia="ja-JP"/>
        </w:rPr>
        <w:t xml:space="preserve">the </w:t>
      </w:r>
      <w:r w:rsidR="006C6E2D" w:rsidRPr="00C23812">
        <w:rPr>
          <w:b/>
          <w:bCs/>
          <w:i/>
          <w:szCs w:val="20"/>
          <w:lang w:val="en-US" w:eastAsia="ja-JP"/>
        </w:rPr>
        <w:t>hypothetical</w:t>
      </w:r>
      <w:r w:rsidR="006C6E2D">
        <w:rPr>
          <w:szCs w:val="20"/>
          <w:lang w:val="en-US" w:eastAsia="ja-JP"/>
        </w:rPr>
        <w:t xml:space="preserve"> </w:t>
      </w:r>
      <w:r w:rsidR="0022262B">
        <w:rPr>
          <w:szCs w:val="20"/>
          <w:lang w:val="en-US" w:eastAsia="ja-JP"/>
        </w:rPr>
        <w:t xml:space="preserve">Barrier </w:t>
      </w:r>
      <w:r w:rsidR="006C6E2D">
        <w:rPr>
          <w:szCs w:val="20"/>
          <w:lang w:val="en-US" w:eastAsia="ja-JP"/>
        </w:rPr>
        <w:t xml:space="preserve">Value of 70.00 </w:t>
      </w:r>
      <w:r w:rsidR="00552A2B">
        <w:rPr>
          <w:szCs w:val="20"/>
          <w:lang w:val="en-US" w:eastAsia="ja-JP"/>
        </w:rPr>
        <w:t xml:space="preserve">for each </w:t>
      </w:r>
      <w:r w:rsidR="005360DA">
        <w:rPr>
          <w:szCs w:val="20"/>
          <w:lang w:val="en-US" w:eastAsia="ja-JP"/>
        </w:rPr>
        <w:t xml:space="preserve">Reference Asset </w:t>
      </w:r>
      <w:r w:rsidR="008335E3">
        <w:rPr>
          <w:szCs w:val="20"/>
          <w:lang w:val="en-US" w:eastAsia="ja-JP"/>
        </w:rPr>
        <w:t xml:space="preserve">have </w:t>
      </w:r>
      <w:r>
        <w:rPr>
          <w:szCs w:val="20"/>
          <w:lang w:val="en-US" w:eastAsia="ja-JP"/>
        </w:rPr>
        <w:t>been chosen for illustrative purposes only and do</w:t>
      </w:r>
      <w:r w:rsidR="00552A2B">
        <w:rPr>
          <w:szCs w:val="20"/>
          <w:lang w:val="en-US" w:eastAsia="ja-JP"/>
        </w:rPr>
        <w:t xml:space="preserve"> </w:t>
      </w:r>
      <w:r>
        <w:rPr>
          <w:szCs w:val="20"/>
          <w:lang w:val="en-US" w:eastAsia="ja-JP"/>
        </w:rPr>
        <w:t xml:space="preserve">not represent likely Initial </w:t>
      </w:r>
      <w:r w:rsidR="00B9325C">
        <w:rPr>
          <w:szCs w:val="20"/>
          <w:lang w:val="en-US" w:eastAsia="ja-JP"/>
        </w:rPr>
        <w:t>Value</w:t>
      </w:r>
      <w:r w:rsidR="006C6E2D">
        <w:rPr>
          <w:szCs w:val="20"/>
          <w:lang w:val="en-US" w:eastAsia="ja-JP"/>
        </w:rPr>
        <w:t xml:space="preserve">s or </w:t>
      </w:r>
      <w:r w:rsidR="0022262B">
        <w:rPr>
          <w:szCs w:val="20"/>
          <w:lang w:val="en-US" w:eastAsia="ja-JP"/>
        </w:rPr>
        <w:t xml:space="preserve">Barrier </w:t>
      </w:r>
      <w:r w:rsidR="006C6E2D">
        <w:rPr>
          <w:szCs w:val="20"/>
          <w:lang w:val="en-US" w:eastAsia="ja-JP"/>
        </w:rPr>
        <w:t>Values</w:t>
      </w:r>
      <w:r w:rsidR="00552A2B">
        <w:rPr>
          <w:szCs w:val="20"/>
          <w:lang w:val="en-US" w:eastAsia="ja-JP"/>
        </w:rPr>
        <w:t xml:space="preserve"> for </w:t>
      </w:r>
      <w:r w:rsidR="00D11B45">
        <w:rPr>
          <w:szCs w:val="20"/>
          <w:lang w:val="en-US" w:eastAsia="ja-JP"/>
        </w:rPr>
        <w:t xml:space="preserve">any </w:t>
      </w:r>
      <w:r w:rsidR="005360DA">
        <w:rPr>
          <w:szCs w:val="20"/>
          <w:lang w:val="en-US" w:eastAsia="ja-JP"/>
        </w:rPr>
        <w:t>Reference Asset</w:t>
      </w:r>
      <w:r>
        <w:rPr>
          <w:szCs w:val="20"/>
          <w:lang w:val="en-US" w:eastAsia="ja-JP"/>
        </w:rPr>
        <w:t xml:space="preserve">. The </w:t>
      </w:r>
      <w:r w:rsidR="00C23812">
        <w:rPr>
          <w:szCs w:val="20"/>
          <w:lang w:val="en-US" w:eastAsia="ja-JP"/>
        </w:rPr>
        <w:t xml:space="preserve">actual </w:t>
      </w:r>
      <w:r>
        <w:rPr>
          <w:szCs w:val="20"/>
          <w:lang w:val="en-US" w:eastAsia="ja-JP"/>
        </w:rPr>
        <w:t xml:space="preserve">Initial </w:t>
      </w:r>
      <w:r w:rsidR="00B9325C">
        <w:rPr>
          <w:szCs w:val="20"/>
          <w:lang w:val="en-US" w:eastAsia="ja-JP"/>
        </w:rPr>
        <w:t>Value</w:t>
      </w:r>
      <w:r>
        <w:rPr>
          <w:szCs w:val="20"/>
          <w:lang w:val="en-US" w:eastAsia="ja-JP"/>
        </w:rPr>
        <w:t xml:space="preserve"> </w:t>
      </w:r>
      <w:r w:rsidR="00552A2B">
        <w:rPr>
          <w:szCs w:val="20"/>
          <w:lang w:val="en-US" w:eastAsia="ja-JP"/>
        </w:rPr>
        <w:t xml:space="preserve">for each </w:t>
      </w:r>
      <w:r w:rsidR="005360DA">
        <w:rPr>
          <w:szCs w:val="20"/>
          <w:lang w:val="en-US" w:eastAsia="ja-JP"/>
        </w:rPr>
        <w:t xml:space="preserve">Reference Asset </w:t>
      </w:r>
      <w:r>
        <w:rPr>
          <w:szCs w:val="20"/>
          <w:lang w:val="en-US" w:eastAsia="ja-JP"/>
        </w:rPr>
        <w:t xml:space="preserve">will be equal to </w:t>
      </w:r>
      <w:r w:rsidR="00552A2B">
        <w:rPr>
          <w:szCs w:val="20"/>
          <w:lang w:val="en-US" w:eastAsia="ja-JP"/>
        </w:rPr>
        <w:t xml:space="preserve">its </w:t>
      </w:r>
      <w:r>
        <w:rPr>
          <w:szCs w:val="20"/>
          <w:lang w:val="en-US" w:eastAsia="ja-JP"/>
        </w:rPr>
        <w:t xml:space="preserve">Closing </w:t>
      </w:r>
      <w:r w:rsidR="00B9325C">
        <w:rPr>
          <w:szCs w:val="20"/>
          <w:lang w:val="en-US" w:eastAsia="ja-JP"/>
        </w:rPr>
        <w:t>Value</w:t>
      </w:r>
      <w:r>
        <w:rPr>
          <w:szCs w:val="20"/>
          <w:lang w:val="en-US" w:eastAsia="ja-JP"/>
        </w:rPr>
        <w:t xml:space="preserve"> </w:t>
      </w:r>
      <w:r w:rsidR="00C23812">
        <w:rPr>
          <w:szCs w:val="20"/>
          <w:lang w:val="en-US" w:eastAsia="ja-JP"/>
        </w:rPr>
        <w:t>on the Initial Valuation Date</w:t>
      </w:r>
      <w:r w:rsidR="008335E3">
        <w:rPr>
          <w:szCs w:val="20"/>
          <w:lang w:val="en-US" w:eastAsia="ja-JP"/>
        </w:rPr>
        <w:t xml:space="preserve"> and the actual </w:t>
      </w:r>
      <w:r w:rsidR="0022262B">
        <w:rPr>
          <w:szCs w:val="20"/>
          <w:lang w:val="en-US" w:eastAsia="ja-JP"/>
        </w:rPr>
        <w:t xml:space="preserve">Barrier </w:t>
      </w:r>
      <w:r w:rsidR="006C6E2D">
        <w:rPr>
          <w:szCs w:val="20"/>
          <w:lang w:val="en-US" w:eastAsia="ja-JP"/>
        </w:rPr>
        <w:t>Value for each Reference Asset will be equal to 70.00% of its Initial Value.</w:t>
      </w:r>
    </w:p>
    <w:p w:rsidR="00544B5E" w:rsidRDefault="00935AF9" w:rsidP="0016786E">
      <w:pPr>
        <w:spacing w:before="120" w:after="120"/>
        <w:jc w:val="both"/>
        <w:rPr>
          <w:szCs w:val="20"/>
        </w:rPr>
      </w:pPr>
      <w:r>
        <w:rPr>
          <w:szCs w:val="20"/>
          <w:lang w:val="en-US" w:eastAsia="ja-JP"/>
        </w:rPr>
        <w:t xml:space="preserve">For information </w:t>
      </w:r>
      <w:r w:rsidR="00D352D0">
        <w:rPr>
          <w:szCs w:val="20"/>
          <w:lang w:val="en-US" w:eastAsia="ja-JP"/>
        </w:rPr>
        <w:t xml:space="preserve">regarding </w:t>
      </w:r>
      <w:r>
        <w:rPr>
          <w:szCs w:val="20"/>
          <w:lang w:val="en-US" w:eastAsia="ja-JP"/>
        </w:rPr>
        <w:t>recent</w:t>
      </w:r>
      <w:r w:rsidR="00552A2B">
        <w:rPr>
          <w:szCs w:val="20"/>
          <w:lang w:val="en-US" w:eastAsia="ja-JP"/>
        </w:rPr>
        <w:t xml:space="preserve"> </w:t>
      </w:r>
      <w:r w:rsidR="00B9325C">
        <w:rPr>
          <w:szCs w:val="20"/>
          <w:lang w:val="en-US" w:eastAsia="ja-JP"/>
        </w:rPr>
        <w:t>value</w:t>
      </w:r>
      <w:r w:rsidR="008335E3">
        <w:rPr>
          <w:szCs w:val="20"/>
          <w:lang w:val="en-US" w:eastAsia="ja-JP"/>
        </w:rPr>
        <w:t xml:space="preserve">s </w:t>
      </w:r>
      <w:r>
        <w:rPr>
          <w:szCs w:val="20"/>
          <w:lang w:val="en-US" w:eastAsia="ja-JP"/>
        </w:rPr>
        <w:t xml:space="preserve">of </w:t>
      </w:r>
      <w:r w:rsidR="00182308">
        <w:rPr>
          <w:szCs w:val="20"/>
          <w:lang w:val="en-US" w:eastAsia="ja-JP"/>
        </w:rPr>
        <w:t xml:space="preserve">the </w:t>
      </w:r>
      <w:r w:rsidR="008335E3">
        <w:rPr>
          <w:szCs w:val="20"/>
          <w:lang w:val="en-US" w:eastAsia="ja-JP"/>
        </w:rPr>
        <w:t>Reference Asset</w:t>
      </w:r>
      <w:r w:rsidR="00182308">
        <w:rPr>
          <w:szCs w:val="20"/>
          <w:lang w:val="en-US" w:eastAsia="ja-JP"/>
        </w:rPr>
        <w:t>s</w:t>
      </w:r>
      <w:r>
        <w:rPr>
          <w:szCs w:val="20"/>
          <w:lang w:val="en-US" w:eastAsia="ja-JP"/>
        </w:rPr>
        <w:t xml:space="preserve">, please see “Information Regarding the </w:t>
      </w:r>
      <w:r w:rsidR="005360DA">
        <w:rPr>
          <w:szCs w:val="20"/>
          <w:lang w:val="en-US" w:eastAsia="ja-JP"/>
        </w:rPr>
        <w:t>Reference Assets</w:t>
      </w:r>
      <w:r>
        <w:rPr>
          <w:szCs w:val="20"/>
          <w:lang w:val="en-US" w:eastAsia="ja-JP"/>
        </w:rPr>
        <w:t xml:space="preserve">” in </w:t>
      </w:r>
      <w:r w:rsidR="002E3E40">
        <w:rPr>
          <w:szCs w:val="20"/>
          <w:lang w:val="en-US" w:eastAsia="ja-JP"/>
        </w:rPr>
        <w:t>this pricing supplement</w:t>
      </w:r>
      <w:r w:rsidR="005A4DBF" w:rsidRPr="005A4DBF">
        <w:rPr>
          <w:szCs w:val="20"/>
          <w:lang w:val="en-US" w:eastAsia="ja-JP"/>
        </w:rPr>
        <w:t>.</w:t>
      </w:r>
    </w:p>
    <w:tbl>
      <w:tblPr>
        <w:tblW w:w="106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95"/>
        <w:gridCol w:w="1227"/>
        <w:gridCol w:w="236"/>
        <w:gridCol w:w="1134"/>
        <w:gridCol w:w="1225"/>
        <w:gridCol w:w="236"/>
        <w:gridCol w:w="2149"/>
        <w:gridCol w:w="1428"/>
        <w:gridCol w:w="1834"/>
      </w:tblGrid>
      <w:tr w:rsidR="00552A2B" w:rsidRPr="0053410A" w:rsidTr="00C23812">
        <w:trPr>
          <w:trHeight w:val="378"/>
          <w:jc w:val="center"/>
        </w:trPr>
        <w:tc>
          <w:tcPr>
            <w:tcW w:w="2422" w:type="dxa"/>
            <w:gridSpan w:val="2"/>
            <w:shd w:val="pct15" w:color="auto" w:fill="auto"/>
            <w:vAlign w:val="center"/>
            <w:hideMark/>
          </w:tcPr>
          <w:p w:rsidR="00552A2B" w:rsidRPr="0053410A" w:rsidRDefault="00552A2B" w:rsidP="00F25B03">
            <w:pPr>
              <w:jc w:val="center"/>
              <w:rPr>
                <w:rFonts w:eastAsia="Times New Roman"/>
                <w:b/>
                <w:bCs/>
                <w:sz w:val="18"/>
                <w:szCs w:val="18"/>
              </w:rPr>
            </w:pPr>
            <w:r>
              <w:rPr>
                <w:rFonts w:eastAsia="Times New Roman"/>
                <w:b/>
                <w:bCs/>
                <w:sz w:val="18"/>
                <w:szCs w:val="18"/>
              </w:rPr>
              <w:t xml:space="preserve">Final </w:t>
            </w:r>
            <w:r w:rsidR="00B9325C">
              <w:rPr>
                <w:rFonts w:eastAsia="Times New Roman"/>
                <w:b/>
                <w:bCs/>
                <w:sz w:val="18"/>
                <w:szCs w:val="18"/>
              </w:rPr>
              <w:t>Value</w:t>
            </w:r>
            <w:r w:rsidR="00BB0F96">
              <w:rPr>
                <w:rFonts w:eastAsia="Times New Roman"/>
                <w:b/>
                <w:bCs/>
                <w:sz w:val="18"/>
                <w:szCs w:val="18"/>
              </w:rPr>
              <w:t xml:space="preserve"> </w:t>
            </w:r>
          </w:p>
        </w:tc>
        <w:tc>
          <w:tcPr>
            <w:tcW w:w="236" w:type="dxa"/>
            <w:shd w:val="clear" w:color="auto" w:fill="FFFFFF" w:themeFill="background1"/>
            <w:vAlign w:val="center"/>
          </w:tcPr>
          <w:p w:rsidR="00552A2B" w:rsidRDefault="00552A2B" w:rsidP="00C23812">
            <w:pPr>
              <w:jc w:val="center"/>
              <w:rPr>
                <w:rFonts w:eastAsia="Times New Roman"/>
                <w:b/>
                <w:bCs/>
                <w:sz w:val="18"/>
                <w:szCs w:val="18"/>
              </w:rPr>
            </w:pPr>
          </w:p>
        </w:tc>
        <w:tc>
          <w:tcPr>
            <w:tcW w:w="2359" w:type="dxa"/>
            <w:gridSpan w:val="2"/>
            <w:shd w:val="pct15" w:color="auto" w:fill="auto"/>
            <w:vAlign w:val="center"/>
            <w:hideMark/>
          </w:tcPr>
          <w:p w:rsidR="00552A2B" w:rsidRDefault="005360DA" w:rsidP="00C23812">
            <w:pPr>
              <w:jc w:val="center"/>
              <w:rPr>
                <w:rFonts w:eastAsia="Times New Roman"/>
                <w:b/>
                <w:bCs/>
                <w:sz w:val="18"/>
                <w:szCs w:val="18"/>
              </w:rPr>
            </w:pPr>
            <w:r>
              <w:rPr>
                <w:rFonts w:eastAsia="Times New Roman"/>
                <w:b/>
                <w:bCs/>
                <w:sz w:val="18"/>
                <w:szCs w:val="18"/>
              </w:rPr>
              <w:t>Reference Asset Return</w:t>
            </w:r>
          </w:p>
        </w:tc>
        <w:tc>
          <w:tcPr>
            <w:tcW w:w="236" w:type="dxa"/>
            <w:shd w:val="clear" w:color="auto" w:fill="FFFFFF" w:themeFill="background1"/>
            <w:vAlign w:val="center"/>
          </w:tcPr>
          <w:p w:rsidR="00552A2B" w:rsidRPr="0053410A" w:rsidRDefault="00552A2B" w:rsidP="00C23812">
            <w:pPr>
              <w:jc w:val="center"/>
              <w:rPr>
                <w:rFonts w:eastAsia="Times New Roman"/>
                <w:b/>
                <w:bCs/>
                <w:sz w:val="18"/>
                <w:szCs w:val="18"/>
              </w:rPr>
            </w:pPr>
          </w:p>
        </w:tc>
        <w:tc>
          <w:tcPr>
            <w:tcW w:w="5411" w:type="dxa"/>
            <w:gridSpan w:val="3"/>
            <w:shd w:val="pct15" w:color="auto" w:fill="auto"/>
            <w:vAlign w:val="center"/>
            <w:hideMark/>
          </w:tcPr>
          <w:p w:rsidR="00552A2B" w:rsidRPr="0053410A" w:rsidRDefault="00552A2B" w:rsidP="00C23812">
            <w:pPr>
              <w:jc w:val="center"/>
              <w:rPr>
                <w:rFonts w:eastAsia="Times New Roman"/>
                <w:b/>
                <w:bCs/>
                <w:sz w:val="18"/>
                <w:szCs w:val="18"/>
              </w:rPr>
            </w:pPr>
          </w:p>
        </w:tc>
      </w:tr>
      <w:tr w:rsidR="00667503" w:rsidRPr="0053410A" w:rsidTr="00C23812">
        <w:trPr>
          <w:trHeight w:val="408"/>
          <w:jc w:val="center"/>
        </w:trPr>
        <w:tc>
          <w:tcPr>
            <w:tcW w:w="1195" w:type="dxa"/>
            <w:shd w:val="pct15" w:color="auto" w:fill="auto"/>
            <w:vAlign w:val="center"/>
            <w:hideMark/>
          </w:tcPr>
          <w:p w:rsidR="00667503" w:rsidRDefault="00E40B31" w:rsidP="00C23812">
            <w:pPr>
              <w:jc w:val="center"/>
              <w:rPr>
                <w:rFonts w:eastAsia="Times New Roman"/>
                <w:b/>
                <w:bCs/>
                <w:sz w:val="18"/>
                <w:szCs w:val="18"/>
              </w:rPr>
            </w:pPr>
            <w:r>
              <w:rPr>
                <w:rFonts w:eastAsia="Times New Roman"/>
                <w:b/>
                <w:bCs/>
                <w:sz w:val="18"/>
                <w:szCs w:val="18"/>
              </w:rPr>
              <w:t>EEM Fund</w:t>
            </w:r>
          </w:p>
        </w:tc>
        <w:tc>
          <w:tcPr>
            <w:tcW w:w="1227" w:type="dxa"/>
            <w:shd w:val="pct15" w:color="auto" w:fill="auto"/>
            <w:vAlign w:val="center"/>
            <w:hideMark/>
          </w:tcPr>
          <w:p w:rsidR="00667503" w:rsidRDefault="00E40B31" w:rsidP="00C23812">
            <w:pPr>
              <w:jc w:val="center"/>
              <w:rPr>
                <w:rFonts w:eastAsia="Times New Roman"/>
                <w:b/>
                <w:bCs/>
                <w:sz w:val="18"/>
                <w:szCs w:val="18"/>
              </w:rPr>
            </w:pPr>
            <w:r>
              <w:rPr>
                <w:rFonts w:eastAsia="Times New Roman"/>
                <w:b/>
                <w:bCs/>
                <w:sz w:val="18"/>
                <w:szCs w:val="18"/>
              </w:rPr>
              <w:t>EFA Fund</w:t>
            </w:r>
          </w:p>
        </w:tc>
        <w:tc>
          <w:tcPr>
            <w:tcW w:w="236" w:type="dxa"/>
            <w:shd w:val="clear" w:color="auto" w:fill="FFFFFF" w:themeFill="background1"/>
            <w:vAlign w:val="center"/>
          </w:tcPr>
          <w:p w:rsidR="00667503" w:rsidRDefault="00667503" w:rsidP="00C23812">
            <w:pPr>
              <w:jc w:val="center"/>
              <w:rPr>
                <w:rFonts w:eastAsia="Times New Roman"/>
                <w:b/>
                <w:bCs/>
                <w:sz w:val="18"/>
                <w:szCs w:val="18"/>
              </w:rPr>
            </w:pPr>
          </w:p>
        </w:tc>
        <w:tc>
          <w:tcPr>
            <w:tcW w:w="1134" w:type="dxa"/>
            <w:shd w:val="pct15" w:color="auto" w:fill="auto"/>
            <w:vAlign w:val="center"/>
            <w:hideMark/>
          </w:tcPr>
          <w:p w:rsidR="00667503" w:rsidRDefault="00E40B31" w:rsidP="00C23812">
            <w:pPr>
              <w:jc w:val="center"/>
              <w:rPr>
                <w:rFonts w:eastAsia="Times New Roman"/>
                <w:b/>
                <w:bCs/>
                <w:sz w:val="18"/>
                <w:szCs w:val="18"/>
              </w:rPr>
            </w:pPr>
            <w:r>
              <w:rPr>
                <w:rFonts w:eastAsia="Times New Roman"/>
                <w:b/>
                <w:bCs/>
                <w:sz w:val="18"/>
                <w:szCs w:val="18"/>
              </w:rPr>
              <w:t>EEM Fund</w:t>
            </w:r>
          </w:p>
        </w:tc>
        <w:tc>
          <w:tcPr>
            <w:tcW w:w="1225" w:type="dxa"/>
            <w:shd w:val="pct15" w:color="auto" w:fill="auto"/>
            <w:vAlign w:val="center"/>
            <w:hideMark/>
          </w:tcPr>
          <w:p w:rsidR="00667503" w:rsidRDefault="00E40B31" w:rsidP="00C23812">
            <w:pPr>
              <w:jc w:val="center"/>
              <w:rPr>
                <w:rFonts w:eastAsia="Times New Roman"/>
                <w:b/>
                <w:bCs/>
                <w:sz w:val="18"/>
                <w:szCs w:val="18"/>
              </w:rPr>
            </w:pPr>
            <w:r>
              <w:rPr>
                <w:rFonts w:eastAsia="Times New Roman"/>
                <w:b/>
                <w:bCs/>
                <w:sz w:val="18"/>
                <w:szCs w:val="18"/>
              </w:rPr>
              <w:t>EFA Fund</w:t>
            </w:r>
          </w:p>
        </w:tc>
        <w:tc>
          <w:tcPr>
            <w:tcW w:w="236" w:type="dxa"/>
            <w:shd w:val="clear" w:color="auto" w:fill="FFFFFF" w:themeFill="background1"/>
            <w:vAlign w:val="center"/>
          </w:tcPr>
          <w:p w:rsidR="00667503" w:rsidRPr="0053410A" w:rsidDel="0026362E" w:rsidRDefault="00667503" w:rsidP="00C23812">
            <w:pPr>
              <w:jc w:val="center"/>
              <w:rPr>
                <w:rFonts w:eastAsia="Times New Roman"/>
                <w:b/>
                <w:bCs/>
                <w:sz w:val="18"/>
                <w:szCs w:val="18"/>
              </w:rPr>
            </w:pPr>
          </w:p>
        </w:tc>
        <w:tc>
          <w:tcPr>
            <w:tcW w:w="2149" w:type="dxa"/>
            <w:shd w:val="pct15" w:color="auto" w:fill="auto"/>
            <w:vAlign w:val="center"/>
            <w:hideMark/>
          </w:tcPr>
          <w:p w:rsidR="00667503" w:rsidRDefault="005360DA" w:rsidP="00C23812">
            <w:pPr>
              <w:jc w:val="center"/>
              <w:rPr>
                <w:rFonts w:eastAsia="Times New Roman"/>
                <w:b/>
                <w:bCs/>
                <w:sz w:val="18"/>
                <w:szCs w:val="18"/>
              </w:rPr>
            </w:pPr>
            <w:r>
              <w:rPr>
                <w:rFonts w:eastAsia="Times New Roman"/>
                <w:b/>
                <w:bCs/>
                <w:sz w:val="18"/>
                <w:szCs w:val="18"/>
              </w:rPr>
              <w:t>Reference Asset Return</w:t>
            </w:r>
            <w:r w:rsidR="00667503" w:rsidRPr="0053410A">
              <w:rPr>
                <w:rFonts w:eastAsia="Times New Roman"/>
                <w:b/>
                <w:bCs/>
                <w:sz w:val="18"/>
                <w:szCs w:val="18"/>
              </w:rPr>
              <w:t xml:space="preserve"> of </w:t>
            </w:r>
            <w:r w:rsidR="00D352D0">
              <w:rPr>
                <w:rFonts w:eastAsia="Times New Roman"/>
                <w:b/>
                <w:bCs/>
                <w:sz w:val="18"/>
                <w:szCs w:val="18"/>
              </w:rPr>
              <w:t xml:space="preserve">the </w:t>
            </w:r>
            <w:r>
              <w:rPr>
                <w:rFonts w:eastAsia="Times New Roman"/>
                <w:b/>
                <w:bCs/>
                <w:sz w:val="18"/>
                <w:szCs w:val="18"/>
              </w:rPr>
              <w:t>Least Performing Reference Asset</w:t>
            </w:r>
          </w:p>
        </w:tc>
        <w:tc>
          <w:tcPr>
            <w:tcW w:w="1428" w:type="dxa"/>
            <w:shd w:val="pct15" w:color="auto" w:fill="auto"/>
            <w:vAlign w:val="center"/>
            <w:hideMark/>
          </w:tcPr>
          <w:p w:rsidR="00667503" w:rsidRPr="0053410A" w:rsidRDefault="00667503" w:rsidP="00C23812">
            <w:pPr>
              <w:jc w:val="center"/>
              <w:rPr>
                <w:rFonts w:eastAsia="Times New Roman"/>
                <w:b/>
                <w:bCs/>
                <w:sz w:val="18"/>
                <w:szCs w:val="18"/>
              </w:rPr>
            </w:pPr>
            <w:r w:rsidRPr="0053410A">
              <w:rPr>
                <w:rFonts w:eastAsia="Times New Roman"/>
                <w:b/>
                <w:bCs/>
                <w:sz w:val="18"/>
                <w:szCs w:val="18"/>
              </w:rPr>
              <w:t>Payment at Maturity</w:t>
            </w:r>
            <w:r w:rsidRPr="00C23812">
              <w:rPr>
                <w:rFonts w:eastAsia="Times New Roman"/>
                <w:bCs/>
                <w:sz w:val="18"/>
                <w:szCs w:val="18"/>
              </w:rPr>
              <w:t>**</w:t>
            </w:r>
          </w:p>
        </w:tc>
        <w:tc>
          <w:tcPr>
            <w:tcW w:w="1834" w:type="dxa"/>
            <w:shd w:val="pct15" w:color="auto" w:fill="auto"/>
            <w:vAlign w:val="center"/>
          </w:tcPr>
          <w:p w:rsidR="00667503" w:rsidRDefault="00667503" w:rsidP="00C23812">
            <w:pPr>
              <w:jc w:val="center"/>
              <w:rPr>
                <w:rFonts w:eastAsia="Times New Roman"/>
                <w:b/>
                <w:bCs/>
                <w:sz w:val="18"/>
                <w:szCs w:val="18"/>
              </w:rPr>
            </w:pPr>
            <w:r>
              <w:rPr>
                <w:rFonts w:eastAsia="Times New Roman"/>
                <w:b/>
                <w:bCs/>
                <w:sz w:val="18"/>
                <w:szCs w:val="18"/>
              </w:rPr>
              <w:t>Total Return on Notes</w:t>
            </w:r>
          </w:p>
        </w:tc>
      </w:tr>
      <w:tr w:rsidR="004332FE" w:rsidTr="00C23812">
        <w:trPr>
          <w:trHeight w:val="133"/>
          <w:jc w:val="center"/>
        </w:trPr>
        <w:tc>
          <w:tcPr>
            <w:tcW w:w="1195" w:type="dxa"/>
            <w:shd w:val="clear" w:color="auto" w:fill="auto"/>
            <w:noWrap/>
            <w:vAlign w:val="center"/>
            <w:hideMark/>
          </w:tcPr>
          <w:p w:rsidR="004332FE" w:rsidRPr="00667503" w:rsidRDefault="004332FE" w:rsidP="00C23812">
            <w:pPr>
              <w:jc w:val="center"/>
              <w:rPr>
                <w:sz w:val="18"/>
                <w:szCs w:val="18"/>
              </w:rPr>
            </w:pPr>
            <w:r w:rsidRPr="00667503">
              <w:rPr>
                <w:sz w:val="18"/>
                <w:szCs w:val="18"/>
              </w:rPr>
              <w:t>150.00</w:t>
            </w:r>
          </w:p>
        </w:tc>
        <w:tc>
          <w:tcPr>
            <w:tcW w:w="1227" w:type="dxa"/>
            <w:shd w:val="clear" w:color="auto" w:fill="auto"/>
            <w:noWrap/>
            <w:vAlign w:val="center"/>
            <w:hideMark/>
          </w:tcPr>
          <w:p w:rsidR="004332FE" w:rsidRPr="00667503" w:rsidRDefault="004332FE" w:rsidP="00C23812">
            <w:pPr>
              <w:jc w:val="center"/>
              <w:rPr>
                <w:sz w:val="18"/>
                <w:szCs w:val="18"/>
              </w:rPr>
            </w:pPr>
            <w:r w:rsidRPr="00667503">
              <w:rPr>
                <w:sz w:val="18"/>
                <w:szCs w:val="18"/>
              </w:rPr>
              <w:t>190.00</w:t>
            </w:r>
          </w:p>
        </w:tc>
        <w:tc>
          <w:tcPr>
            <w:tcW w:w="236" w:type="dxa"/>
            <w:shd w:val="clear" w:color="auto" w:fill="FFFFFF" w:themeFill="background1"/>
            <w:vAlign w:val="center"/>
          </w:tcPr>
          <w:p w:rsidR="004332FE" w:rsidRDefault="004332FE" w:rsidP="00C23812">
            <w:pPr>
              <w:jc w:val="center"/>
              <w:rPr>
                <w:sz w:val="18"/>
                <w:szCs w:val="18"/>
              </w:rPr>
            </w:pPr>
          </w:p>
        </w:tc>
        <w:tc>
          <w:tcPr>
            <w:tcW w:w="1134" w:type="dxa"/>
            <w:shd w:val="clear" w:color="auto" w:fill="auto"/>
            <w:vAlign w:val="center"/>
            <w:hideMark/>
          </w:tcPr>
          <w:p w:rsidR="004332FE" w:rsidRDefault="004332FE" w:rsidP="00C23812">
            <w:pPr>
              <w:jc w:val="center"/>
              <w:rPr>
                <w:sz w:val="18"/>
                <w:szCs w:val="18"/>
              </w:rPr>
            </w:pPr>
            <w:r w:rsidRPr="0053410A">
              <w:rPr>
                <w:sz w:val="18"/>
                <w:szCs w:val="18"/>
              </w:rPr>
              <w:t>50.00%</w:t>
            </w:r>
          </w:p>
        </w:tc>
        <w:tc>
          <w:tcPr>
            <w:tcW w:w="1225" w:type="dxa"/>
            <w:shd w:val="clear" w:color="auto" w:fill="auto"/>
            <w:vAlign w:val="center"/>
            <w:hideMark/>
          </w:tcPr>
          <w:p w:rsidR="004332FE" w:rsidRDefault="004332FE" w:rsidP="00C23812">
            <w:pPr>
              <w:jc w:val="center"/>
              <w:rPr>
                <w:sz w:val="18"/>
                <w:szCs w:val="18"/>
              </w:rPr>
            </w:pPr>
            <w:r>
              <w:rPr>
                <w:sz w:val="18"/>
                <w:szCs w:val="18"/>
              </w:rPr>
              <w:t>90</w:t>
            </w:r>
            <w:r w:rsidRPr="0053410A">
              <w:rPr>
                <w:sz w:val="18"/>
                <w:szCs w:val="18"/>
              </w:rPr>
              <w:t>.00%</w:t>
            </w:r>
          </w:p>
        </w:tc>
        <w:tc>
          <w:tcPr>
            <w:tcW w:w="236" w:type="dxa"/>
            <w:shd w:val="clear" w:color="auto" w:fill="FFFFFF" w:themeFill="background1"/>
            <w:vAlign w:val="center"/>
          </w:tcPr>
          <w:p w:rsidR="004332FE" w:rsidRDefault="004332FE" w:rsidP="00C23812">
            <w:pPr>
              <w:jc w:val="center"/>
              <w:rPr>
                <w:sz w:val="18"/>
                <w:szCs w:val="18"/>
              </w:rPr>
            </w:pPr>
          </w:p>
        </w:tc>
        <w:tc>
          <w:tcPr>
            <w:tcW w:w="2149" w:type="dxa"/>
            <w:shd w:val="clear" w:color="auto" w:fill="auto"/>
            <w:noWrap/>
            <w:vAlign w:val="center"/>
            <w:hideMark/>
          </w:tcPr>
          <w:p w:rsidR="004332FE" w:rsidRDefault="004332FE" w:rsidP="00C23812">
            <w:pPr>
              <w:jc w:val="center"/>
              <w:rPr>
                <w:sz w:val="18"/>
                <w:szCs w:val="18"/>
              </w:rPr>
            </w:pPr>
            <w:r w:rsidRPr="0053410A">
              <w:rPr>
                <w:sz w:val="18"/>
                <w:szCs w:val="18"/>
              </w:rPr>
              <w:t>50.00%</w:t>
            </w:r>
          </w:p>
        </w:tc>
        <w:tc>
          <w:tcPr>
            <w:tcW w:w="1428" w:type="dxa"/>
            <w:shd w:val="clear" w:color="auto" w:fill="auto"/>
            <w:noWrap/>
            <w:vAlign w:val="center"/>
            <w:hideMark/>
          </w:tcPr>
          <w:p w:rsidR="00800B13" w:rsidRDefault="00FF3169">
            <w:pPr>
              <w:jc w:val="center"/>
              <w:rPr>
                <w:sz w:val="18"/>
                <w:szCs w:val="18"/>
              </w:rPr>
            </w:pPr>
            <w:r>
              <w:rPr>
                <w:sz w:val="18"/>
                <w:szCs w:val="18"/>
              </w:rPr>
              <w:t>$</w:t>
            </w:r>
            <w:r w:rsidR="007C5E04">
              <w:rPr>
                <w:sz w:val="18"/>
                <w:szCs w:val="18"/>
              </w:rPr>
              <w:t>2</w:t>
            </w:r>
            <w:r>
              <w:rPr>
                <w:sz w:val="18"/>
                <w:szCs w:val="18"/>
              </w:rPr>
              <w:t>,</w:t>
            </w:r>
            <w:r w:rsidR="007C5E04">
              <w:rPr>
                <w:sz w:val="18"/>
                <w:szCs w:val="18"/>
              </w:rPr>
              <w:t>300</w:t>
            </w:r>
            <w:r>
              <w:rPr>
                <w:sz w:val="18"/>
                <w:szCs w:val="18"/>
              </w:rPr>
              <w:t>.00</w:t>
            </w:r>
          </w:p>
        </w:tc>
        <w:tc>
          <w:tcPr>
            <w:tcW w:w="1834" w:type="dxa"/>
            <w:vAlign w:val="center"/>
          </w:tcPr>
          <w:p w:rsidR="00800B13" w:rsidRDefault="007C5E04" w:rsidP="00CC2AF3">
            <w:pPr>
              <w:jc w:val="center"/>
              <w:rPr>
                <w:sz w:val="18"/>
                <w:szCs w:val="18"/>
              </w:rPr>
            </w:pPr>
            <w:r>
              <w:rPr>
                <w:sz w:val="18"/>
                <w:szCs w:val="18"/>
              </w:rPr>
              <w:t>130</w:t>
            </w:r>
            <w:r w:rsidR="00CC2AF3">
              <w:rPr>
                <w:sz w:val="18"/>
                <w:szCs w:val="18"/>
              </w:rPr>
              <w:t>.0</w:t>
            </w:r>
            <w:r w:rsidR="00CF2371">
              <w:rPr>
                <w:sz w:val="18"/>
                <w:szCs w:val="18"/>
              </w:rPr>
              <w:t>0</w:t>
            </w:r>
            <w:r w:rsidR="00FF3169">
              <w:rPr>
                <w:sz w:val="18"/>
                <w:szCs w:val="18"/>
              </w:rPr>
              <w:t>%</w:t>
            </w:r>
          </w:p>
        </w:tc>
      </w:tr>
      <w:tr w:rsidR="004332FE" w:rsidTr="00C23812">
        <w:trPr>
          <w:trHeight w:val="208"/>
          <w:jc w:val="center"/>
        </w:trPr>
        <w:tc>
          <w:tcPr>
            <w:tcW w:w="1195" w:type="dxa"/>
            <w:shd w:val="clear" w:color="auto" w:fill="auto"/>
            <w:noWrap/>
            <w:vAlign w:val="center"/>
            <w:hideMark/>
          </w:tcPr>
          <w:p w:rsidR="004332FE" w:rsidRPr="00667503" w:rsidRDefault="004332FE" w:rsidP="00C23812">
            <w:pPr>
              <w:jc w:val="center"/>
              <w:rPr>
                <w:sz w:val="18"/>
                <w:szCs w:val="18"/>
              </w:rPr>
            </w:pPr>
            <w:r w:rsidRPr="00667503">
              <w:rPr>
                <w:sz w:val="18"/>
                <w:szCs w:val="18"/>
              </w:rPr>
              <w:t>145.00</w:t>
            </w:r>
          </w:p>
        </w:tc>
        <w:tc>
          <w:tcPr>
            <w:tcW w:w="1227" w:type="dxa"/>
            <w:shd w:val="clear" w:color="auto" w:fill="auto"/>
            <w:noWrap/>
            <w:vAlign w:val="center"/>
            <w:hideMark/>
          </w:tcPr>
          <w:p w:rsidR="004332FE" w:rsidRPr="00667503" w:rsidRDefault="004332FE" w:rsidP="00C23812">
            <w:pPr>
              <w:jc w:val="center"/>
              <w:rPr>
                <w:sz w:val="18"/>
                <w:szCs w:val="18"/>
              </w:rPr>
            </w:pPr>
            <w:r w:rsidRPr="00667503">
              <w:rPr>
                <w:sz w:val="18"/>
                <w:szCs w:val="18"/>
              </w:rPr>
              <w:t>140.00</w:t>
            </w:r>
          </w:p>
        </w:tc>
        <w:tc>
          <w:tcPr>
            <w:tcW w:w="236" w:type="dxa"/>
            <w:shd w:val="clear" w:color="auto" w:fill="FFFFFF" w:themeFill="background1"/>
            <w:vAlign w:val="center"/>
          </w:tcPr>
          <w:p w:rsidR="004332FE" w:rsidRDefault="004332FE" w:rsidP="00C23812">
            <w:pPr>
              <w:jc w:val="center"/>
              <w:rPr>
                <w:sz w:val="18"/>
                <w:szCs w:val="18"/>
              </w:rPr>
            </w:pPr>
          </w:p>
        </w:tc>
        <w:tc>
          <w:tcPr>
            <w:tcW w:w="1134" w:type="dxa"/>
            <w:shd w:val="clear" w:color="auto" w:fill="auto"/>
            <w:vAlign w:val="center"/>
            <w:hideMark/>
          </w:tcPr>
          <w:p w:rsidR="004332FE" w:rsidRDefault="004332FE" w:rsidP="00C23812">
            <w:pPr>
              <w:jc w:val="center"/>
              <w:rPr>
                <w:sz w:val="18"/>
                <w:szCs w:val="18"/>
              </w:rPr>
            </w:pPr>
            <w:r w:rsidRPr="0053410A">
              <w:rPr>
                <w:sz w:val="18"/>
                <w:szCs w:val="18"/>
              </w:rPr>
              <w:t>45.00%</w:t>
            </w:r>
          </w:p>
        </w:tc>
        <w:tc>
          <w:tcPr>
            <w:tcW w:w="1225" w:type="dxa"/>
            <w:shd w:val="clear" w:color="auto" w:fill="auto"/>
            <w:vAlign w:val="center"/>
            <w:hideMark/>
          </w:tcPr>
          <w:p w:rsidR="004332FE" w:rsidRDefault="004332FE" w:rsidP="00C23812">
            <w:pPr>
              <w:jc w:val="center"/>
              <w:rPr>
                <w:sz w:val="18"/>
                <w:szCs w:val="18"/>
              </w:rPr>
            </w:pPr>
            <w:r w:rsidRPr="0053410A">
              <w:rPr>
                <w:sz w:val="18"/>
                <w:szCs w:val="18"/>
              </w:rPr>
              <w:t>4</w:t>
            </w:r>
            <w:r>
              <w:rPr>
                <w:sz w:val="18"/>
                <w:szCs w:val="18"/>
              </w:rPr>
              <w:t>0</w:t>
            </w:r>
            <w:r w:rsidRPr="0053410A">
              <w:rPr>
                <w:sz w:val="18"/>
                <w:szCs w:val="18"/>
              </w:rPr>
              <w:t>.00%</w:t>
            </w:r>
          </w:p>
        </w:tc>
        <w:tc>
          <w:tcPr>
            <w:tcW w:w="236" w:type="dxa"/>
            <w:shd w:val="clear" w:color="auto" w:fill="FFFFFF" w:themeFill="background1"/>
            <w:vAlign w:val="center"/>
          </w:tcPr>
          <w:p w:rsidR="004332FE" w:rsidRDefault="004332FE" w:rsidP="00C23812">
            <w:pPr>
              <w:jc w:val="center"/>
              <w:rPr>
                <w:sz w:val="18"/>
                <w:szCs w:val="18"/>
              </w:rPr>
            </w:pPr>
          </w:p>
        </w:tc>
        <w:tc>
          <w:tcPr>
            <w:tcW w:w="2149" w:type="dxa"/>
            <w:shd w:val="clear" w:color="auto" w:fill="auto"/>
            <w:noWrap/>
            <w:vAlign w:val="center"/>
            <w:hideMark/>
          </w:tcPr>
          <w:p w:rsidR="004332FE" w:rsidRDefault="004332FE" w:rsidP="00C23812">
            <w:pPr>
              <w:jc w:val="center"/>
              <w:rPr>
                <w:sz w:val="18"/>
                <w:szCs w:val="18"/>
              </w:rPr>
            </w:pPr>
            <w:r w:rsidRPr="0053410A">
              <w:rPr>
                <w:sz w:val="18"/>
                <w:szCs w:val="18"/>
              </w:rPr>
              <w:t>40.00%</w:t>
            </w:r>
          </w:p>
        </w:tc>
        <w:tc>
          <w:tcPr>
            <w:tcW w:w="1428" w:type="dxa"/>
            <w:shd w:val="clear" w:color="auto" w:fill="auto"/>
            <w:noWrap/>
            <w:vAlign w:val="center"/>
            <w:hideMark/>
          </w:tcPr>
          <w:p w:rsidR="00800B13" w:rsidRDefault="00FF3169">
            <w:pPr>
              <w:jc w:val="center"/>
              <w:rPr>
                <w:sz w:val="18"/>
                <w:szCs w:val="18"/>
              </w:rPr>
            </w:pPr>
            <w:r>
              <w:rPr>
                <w:sz w:val="18"/>
                <w:szCs w:val="18"/>
              </w:rPr>
              <w:t>$</w:t>
            </w:r>
            <w:r w:rsidR="007C5E04">
              <w:rPr>
                <w:sz w:val="18"/>
                <w:szCs w:val="18"/>
              </w:rPr>
              <w:t>2</w:t>
            </w:r>
            <w:r>
              <w:rPr>
                <w:sz w:val="18"/>
                <w:szCs w:val="18"/>
              </w:rPr>
              <w:t>,</w:t>
            </w:r>
            <w:r w:rsidR="007C5E04">
              <w:rPr>
                <w:sz w:val="18"/>
                <w:szCs w:val="18"/>
              </w:rPr>
              <w:t>040</w:t>
            </w:r>
            <w:r>
              <w:rPr>
                <w:sz w:val="18"/>
                <w:szCs w:val="18"/>
              </w:rPr>
              <w:t>.00</w:t>
            </w:r>
          </w:p>
        </w:tc>
        <w:tc>
          <w:tcPr>
            <w:tcW w:w="1834" w:type="dxa"/>
            <w:vAlign w:val="center"/>
          </w:tcPr>
          <w:p w:rsidR="00800B13" w:rsidRDefault="007C5E04" w:rsidP="00B9325C">
            <w:pPr>
              <w:jc w:val="center"/>
              <w:rPr>
                <w:sz w:val="18"/>
                <w:szCs w:val="18"/>
              </w:rPr>
            </w:pPr>
            <w:r>
              <w:rPr>
                <w:sz w:val="18"/>
                <w:szCs w:val="18"/>
              </w:rPr>
              <w:t>104.00</w:t>
            </w:r>
            <w:r w:rsidR="00FF3169">
              <w:rPr>
                <w:sz w:val="18"/>
                <w:szCs w:val="18"/>
              </w:rPr>
              <w:t>%</w:t>
            </w:r>
          </w:p>
        </w:tc>
      </w:tr>
      <w:tr w:rsidR="004332FE" w:rsidTr="00C23812">
        <w:trPr>
          <w:trHeight w:val="165"/>
          <w:jc w:val="center"/>
        </w:trPr>
        <w:tc>
          <w:tcPr>
            <w:tcW w:w="1195" w:type="dxa"/>
            <w:tcBorders>
              <w:bottom w:val="single" w:sz="2" w:space="0" w:color="auto"/>
            </w:tcBorders>
            <w:shd w:val="clear" w:color="auto" w:fill="auto"/>
            <w:noWrap/>
            <w:vAlign w:val="center"/>
            <w:hideMark/>
          </w:tcPr>
          <w:p w:rsidR="004332FE" w:rsidRPr="00667503" w:rsidRDefault="004332FE" w:rsidP="00C23812">
            <w:pPr>
              <w:jc w:val="center"/>
              <w:rPr>
                <w:sz w:val="18"/>
                <w:szCs w:val="18"/>
              </w:rPr>
            </w:pPr>
            <w:r w:rsidRPr="00667503">
              <w:rPr>
                <w:sz w:val="18"/>
                <w:szCs w:val="18"/>
              </w:rPr>
              <w:t>130.00</w:t>
            </w:r>
          </w:p>
        </w:tc>
        <w:tc>
          <w:tcPr>
            <w:tcW w:w="1227" w:type="dxa"/>
            <w:tcBorders>
              <w:bottom w:val="single" w:sz="2" w:space="0" w:color="auto"/>
            </w:tcBorders>
            <w:shd w:val="clear" w:color="auto" w:fill="auto"/>
            <w:noWrap/>
            <w:vAlign w:val="center"/>
            <w:hideMark/>
          </w:tcPr>
          <w:p w:rsidR="004332FE" w:rsidRPr="00667503" w:rsidRDefault="004332FE" w:rsidP="00C23812">
            <w:pPr>
              <w:jc w:val="center"/>
              <w:rPr>
                <w:sz w:val="18"/>
                <w:szCs w:val="18"/>
              </w:rPr>
            </w:pPr>
            <w:r w:rsidRPr="00667503">
              <w:rPr>
                <w:sz w:val="18"/>
                <w:szCs w:val="18"/>
              </w:rPr>
              <w:t>150.00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1134" w:type="dxa"/>
            <w:tcBorders>
              <w:bottom w:val="single" w:sz="2" w:space="0" w:color="auto"/>
            </w:tcBorders>
            <w:shd w:val="clear" w:color="auto" w:fill="auto"/>
            <w:vAlign w:val="center"/>
            <w:hideMark/>
          </w:tcPr>
          <w:p w:rsidR="004332FE" w:rsidRDefault="004332FE" w:rsidP="00C23812">
            <w:pPr>
              <w:jc w:val="center"/>
              <w:rPr>
                <w:sz w:val="18"/>
                <w:szCs w:val="18"/>
              </w:rPr>
            </w:pPr>
            <w:r w:rsidRPr="0053410A">
              <w:rPr>
                <w:sz w:val="18"/>
                <w:szCs w:val="18"/>
              </w:rPr>
              <w:t>30.00%</w:t>
            </w:r>
          </w:p>
        </w:tc>
        <w:tc>
          <w:tcPr>
            <w:tcW w:w="1225" w:type="dxa"/>
            <w:tcBorders>
              <w:bottom w:val="single" w:sz="2" w:space="0" w:color="auto"/>
            </w:tcBorders>
            <w:shd w:val="clear" w:color="auto" w:fill="auto"/>
            <w:vAlign w:val="center"/>
            <w:hideMark/>
          </w:tcPr>
          <w:p w:rsidR="004332FE" w:rsidRDefault="004332FE" w:rsidP="00C23812">
            <w:pPr>
              <w:jc w:val="center"/>
              <w:rPr>
                <w:sz w:val="18"/>
                <w:szCs w:val="18"/>
              </w:rPr>
            </w:pPr>
            <w:r>
              <w:rPr>
                <w:sz w:val="18"/>
                <w:szCs w:val="18"/>
              </w:rPr>
              <w:t>5</w:t>
            </w:r>
            <w:r w:rsidRPr="0053410A">
              <w:rPr>
                <w:sz w:val="18"/>
                <w:szCs w:val="18"/>
              </w:rPr>
              <w:t>0.00%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2149" w:type="dxa"/>
            <w:tcBorders>
              <w:bottom w:val="single" w:sz="2" w:space="0" w:color="auto"/>
            </w:tcBorders>
            <w:shd w:val="clear" w:color="auto" w:fill="auto"/>
            <w:noWrap/>
            <w:vAlign w:val="center"/>
            <w:hideMark/>
          </w:tcPr>
          <w:p w:rsidR="004332FE" w:rsidRDefault="004332FE" w:rsidP="00C23812">
            <w:pPr>
              <w:jc w:val="center"/>
              <w:rPr>
                <w:sz w:val="18"/>
                <w:szCs w:val="18"/>
              </w:rPr>
            </w:pPr>
            <w:r w:rsidRPr="0053410A">
              <w:rPr>
                <w:sz w:val="18"/>
                <w:szCs w:val="18"/>
              </w:rPr>
              <w:t>30.00%</w:t>
            </w:r>
          </w:p>
        </w:tc>
        <w:tc>
          <w:tcPr>
            <w:tcW w:w="1428" w:type="dxa"/>
            <w:tcBorders>
              <w:bottom w:val="single" w:sz="2" w:space="0" w:color="auto"/>
            </w:tcBorders>
            <w:shd w:val="clear" w:color="auto" w:fill="auto"/>
            <w:noWrap/>
            <w:vAlign w:val="center"/>
            <w:hideMark/>
          </w:tcPr>
          <w:p w:rsidR="00800B13" w:rsidRDefault="00FF3169">
            <w:pPr>
              <w:jc w:val="center"/>
              <w:rPr>
                <w:sz w:val="18"/>
                <w:szCs w:val="18"/>
              </w:rPr>
            </w:pPr>
            <w:r>
              <w:rPr>
                <w:sz w:val="18"/>
                <w:szCs w:val="18"/>
              </w:rPr>
              <w:t>$1,</w:t>
            </w:r>
            <w:r w:rsidR="007C5E04">
              <w:rPr>
                <w:sz w:val="18"/>
                <w:szCs w:val="18"/>
              </w:rPr>
              <w:t>780</w:t>
            </w:r>
            <w:r>
              <w:rPr>
                <w:sz w:val="18"/>
                <w:szCs w:val="18"/>
              </w:rPr>
              <w:t>.00</w:t>
            </w:r>
          </w:p>
        </w:tc>
        <w:tc>
          <w:tcPr>
            <w:tcW w:w="1834" w:type="dxa"/>
            <w:tcBorders>
              <w:bottom w:val="single" w:sz="2" w:space="0" w:color="auto"/>
            </w:tcBorders>
            <w:vAlign w:val="center"/>
          </w:tcPr>
          <w:p w:rsidR="00800B13" w:rsidRDefault="007C5E04" w:rsidP="00CC2AF3">
            <w:pPr>
              <w:jc w:val="center"/>
              <w:rPr>
                <w:sz w:val="18"/>
                <w:szCs w:val="18"/>
              </w:rPr>
            </w:pPr>
            <w:r>
              <w:rPr>
                <w:sz w:val="18"/>
                <w:szCs w:val="18"/>
              </w:rPr>
              <w:t>78.00</w:t>
            </w:r>
            <w:r w:rsidR="00FF3169">
              <w:rPr>
                <w:sz w:val="18"/>
                <w:szCs w:val="18"/>
              </w:rPr>
              <w:t>%</w:t>
            </w:r>
          </w:p>
        </w:tc>
      </w:tr>
      <w:tr w:rsidR="004332FE" w:rsidTr="00C23812">
        <w:trPr>
          <w:trHeight w:val="133"/>
          <w:jc w:val="center"/>
        </w:trPr>
        <w:tc>
          <w:tcPr>
            <w:tcW w:w="1195" w:type="dxa"/>
            <w:shd w:val="clear" w:color="auto" w:fill="FFFFFF" w:themeFill="background1"/>
            <w:noWrap/>
            <w:vAlign w:val="center"/>
            <w:hideMark/>
          </w:tcPr>
          <w:p w:rsidR="004332FE" w:rsidRPr="00667503" w:rsidRDefault="004332FE" w:rsidP="00C23812">
            <w:pPr>
              <w:jc w:val="center"/>
              <w:rPr>
                <w:sz w:val="18"/>
                <w:szCs w:val="18"/>
              </w:rPr>
            </w:pPr>
            <w:r w:rsidRPr="00667503">
              <w:rPr>
                <w:sz w:val="18"/>
                <w:szCs w:val="18"/>
              </w:rPr>
              <w:t>125.00</w:t>
            </w:r>
          </w:p>
        </w:tc>
        <w:tc>
          <w:tcPr>
            <w:tcW w:w="1227" w:type="dxa"/>
            <w:shd w:val="clear" w:color="auto" w:fill="FFFFFF" w:themeFill="background1"/>
            <w:noWrap/>
            <w:vAlign w:val="center"/>
            <w:hideMark/>
          </w:tcPr>
          <w:p w:rsidR="004332FE" w:rsidRPr="00667503" w:rsidRDefault="004332FE" w:rsidP="00C23812">
            <w:pPr>
              <w:jc w:val="center"/>
              <w:rPr>
                <w:sz w:val="18"/>
                <w:szCs w:val="18"/>
              </w:rPr>
            </w:pPr>
            <w:r w:rsidRPr="00667503">
              <w:rPr>
                <w:sz w:val="18"/>
                <w:szCs w:val="18"/>
              </w:rPr>
              <w:t>120.00</w:t>
            </w:r>
          </w:p>
        </w:tc>
        <w:tc>
          <w:tcPr>
            <w:tcW w:w="236" w:type="dxa"/>
            <w:shd w:val="clear" w:color="auto" w:fill="FFFFFF" w:themeFill="background1"/>
            <w:vAlign w:val="center"/>
          </w:tcPr>
          <w:p w:rsidR="004332FE" w:rsidRDefault="004332FE" w:rsidP="00C23812">
            <w:pPr>
              <w:jc w:val="center"/>
              <w:rPr>
                <w:sz w:val="18"/>
                <w:szCs w:val="18"/>
              </w:rPr>
            </w:pPr>
          </w:p>
        </w:tc>
        <w:tc>
          <w:tcPr>
            <w:tcW w:w="1134" w:type="dxa"/>
            <w:shd w:val="clear" w:color="auto" w:fill="FFFFFF" w:themeFill="background1"/>
            <w:vAlign w:val="center"/>
            <w:hideMark/>
          </w:tcPr>
          <w:p w:rsidR="004332FE" w:rsidRDefault="004332FE" w:rsidP="00C23812">
            <w:pPr>
              <w:jc w:val="center"/>
              <w:rPr>
                <w:b/>
                <w:sz w:val="18"/>
                <w:szCs w:val="18"/>
              </w:rPr>
            </w:pPr>
            <w:r w:rsidRPr="0053410A">
              <w:rPr>
                <w:sz w:val="18"/>
                <w:szCs w:val="18"/>
              </w:rPr>
              <w:t>25.00%</w:t>
            </w:r>
          </w:p>
        </w:tc>
        <w:tc>
          <w:tcPr>
            <w:tcW w:w="1225" w:type="dxa"/>
            <w:shd w:val="clear" w:color="auto" w:fill="FFFFFF" w:themeFill="background1"/>
            <w:vAlign w:val="center"/>
            <w:hideMark/>
          </w:tcPr>
          <w:p w:rsidR="004332FE" w:rsidRDefault="004332FE" w:rsidP="00C23812">
            <w:pPr>
              <w:jc w:val="center"/>
              <w:rPr>
                <w:b/>
                <w:sz w:val="18"/>
                <w:szCs w:val="18"/>
              </w:rPr>
            </w:pPr>
            <w:r>
              <w:rPr>
                <w:sz w:val="18"/>
                <w:szCs w:val="18"/>
              </w:rPr>
              <w:t>2</w:t>
            </w:r>
            <w:r w:rsidRPr="0053410A">
              <w:rPr>
                <w:sz w:val="18"/>
                <w:szCs w:val="18"/>
              </w:rPr>
              <w:t>0.00%</w:t>
            </w:r>
          </w:p>
        </w:tc>
        <w:tc>
          <w:tcPr>
            <w:tcW w:w="236" w:type="dxa"/>
            <w:shd w:val="clear" w:color="auto" w:fill="FFFFFF" w:themeFill="background1"/>
            <w:vAlign w:val="center"/>
          </w:tcPr>
          <w:p w:rsidR="004332FE" w:rsidRDefault="004332FE" w:rsidP="00C23812">
            <w:pPr>
              <w:jc w:val="center"/>
              <w:rPr>
                <w:sz w:val="18"/>
                <w:szCs w:val="18"/>
              </w:rPr>
            </w:pPr>
          </w:p>
        </w:tc>
        <w:tc>
          <w:tcPr>
            <w:tcW w:w="2149" w:type="dxa"/>
            <w:shd w:val="clear" w:color="auto" w:fill="FFFFFF" w:themeFill="background1"/>
            <w:noWrap/>
            <w:vAlign w:val="center"/>
            <w:hideMark/>
          </w:tcPr>
          <w:p w:rsidR="004332FE" w:rsidRDefault="004332FE" w:rsidP="00C23812">
            <w:pPr>
              <w:jc w:val="center"/>
              <w:rPr>
                <w:b/>
                <w:sz w:val="18"/>
                <w:szCs w:val="18"/>
              </w:rPr>
            </w:pPr>
            <w:r w:rsidRPr="0053410A">
              <w:rPr>
                <w:sz w:val="18"/>
                <w:szCs w:val="18"/>
              </w:rPr>
              <w:t>20.00%</w:t>
            </w:r>
          </w:p>
        </w:tc>
        <w:tc>
          <w:tcPr>
            <w:tcW w:w="1428" w:type="dxa"/>
            <w:shd w:val="clear" w:color="auto" w:fill="FFFFFF" w:themeFill="background1"/>
            <w:noWrap/>
            <w:vAlign w:val="center"/>
            <w:hideMark/>
          </w:tcPr>
          <w:p w:rsidR="00800B13" w:rsidRDefault="00FF3169">
            <w:pPr>
              <w:jc w:val="center"/>
              <w:rPr>
                <w:sz w:val="18"/>
                <w:szCs w:val="18"/>
              </w:rPr>
            </w:pPr>
            <w:r>
              <w:rPr>
                <w:sz w:val="18"/>
                <w:szCs w:val="18"/>
              </w:rPr>
              <w:t>$1,</w:t>
            </w:r>
            <w:r w:rsidR="007C5E04">
              <w:rPr>
                <w:sz w:val="18"/>
                <w:szCs w:val="18"/>
              </w:rPr>
              <w:t>520</w:t>
            </w:r>
            <w:r>
              <w:rPr>
                <w:sz w:val="18"/>
                <w:szCs w:val="18"/>
              </w:rPr>
              <w:t>.00</w:t>
            </w:r>
          </w:p>
        </w:tc>
        <w:tc>
          <w:tcPr>
            <w:tcW w:w="1834" w:type="dxa"/>
            <w:shd w:val="clear" w:color="auto" w:fill="FFFFFF" w:themeFill="background1"/>
            <w:vAlign w:val="center"/>
          </w:tcPr>
          <w:p w:rsidR="00800B13" w:rsidRDefault="007C5E04" w:rsidP="00CC2AF3">
            <w:pPr>
              <w:jc w:val="center"/>
              <w:rPr>
                <w:sz w:val="18"/>
                <w:szCs w:val="18"/>
              </w:rPr>
            </w:pPr>
            <w:r>
              <w:rPr>
                <w:sz w:val="18"/>
                <w:szCs w:val="18"/>
              </w:rPr>
              <w:t>52.00</w:t>
            </w:r>
            <w:r w:rsidR="00FF3169">
              <w:rPr>
                <w:sz w:val="18"/>
                <w:szCs w:val="18"/>
              </w:rPr>
              <w:t>%</w:t>
            </w:r>
          </w:p>
        </w:tc>
      </w:tr>
      <w:tr w:rsidR="004332FE" w:rsidTr="00C23812">
        <w:trPr>
          <w:trHeight w:val="196"/>
          <w:jc w:val="center"/>
        </w:trPr>
        <w:tc>
          <w:tcPr>
            <w:tcW w:w="1195" w:type="dxa"/>
            <w:tcBorders>
              <w:bottom w:val="single" w:sz="2" w:space="0" w:color="auto"/>
            </w:tcBorders>
            <w:shd w:val="clear" w:color="auto" w:fill="FFFFFF" w:themeFill="background1"/>
            <w:noWrap/>
            <w:vAlign w:val="center"/>
            <w:hideMark/>
          </w:tcPr>
          <w:p w:rsidR="004332FE" w:rsidRPr="00667503" w:rsidRDefault="004332FE" w:rsidP="00C23812">
            <w:pPr>
              <w:jc w:val="center"/>
              <w:rPr>
                <w:sz w:val="18"/>
                <w:szCs w:val="18"/>
              </w:rPr>
            </w:pPr>
            <w:r w:rsidRPr="00667503">
              <w:rPr>
                <w:sz w:val="18"/>
                <w:szCs w:val="18"/>
              </w:rPr>
              <w:t>140.00</w:t>
            </w:r>
          </w:p>
        </w:tc>
        <w:tc>
          <w:tcPr>
            <w:tcW w:w="1227" w:type="dxa"/>
            <w:tcBorders>
              <w:bottom w:val="single" w:sz="2" w:space="0" w:color="auto"/>
            </w:tcBorders>
            <w:shd w:val="clear" w:color="auto" w:fill="FFFFFF" w:themeFill="background1"/>
            <w:noWrap/>
            <w:vAlign w:val="center"/>
            <w:hideMark/>
          </w:tcPr>
          <w:p w:rsidR="004332FE" w:rsidRPr="00667503" w:rsidRDefault="004332FE" w:rsidP="00C23812">
            <w:pPr>
              <w:jc w:val="center"/>
              <w:rPr>
                <w:sz w:val="18"/>
                <w:szCs w:val="18"/>
              </w:rPr>
            </w:pPr>
            <w:r w:rsidRPr="00667503">
              <w:rPr>
                <w:sz w:val="18"/>
                <w:szCs w:val="18"/>
              </w:rPr>
              <w:t>110.00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1134" w:type="dxa"/>
            <w:tcBorders>
              <w:bottom w:val="single" w:sz="2" w:space="0" w:color="auto"/>
            </w:tcBorders>
            <w:shd w:val="clear" w:color="auto" w:fill="FFFFFF" w:themeFill="background1"/>
            <w:vAlign w:val="center"/>
            <w:hideMark/>
          </w:tcPr>
          <w:p w:rsidR="004332FE" w:rsidRDefault="004332FE" w:rsidP="00C23812">
            <w:pPr>
              <w:jc w:val="center"/>
              <w:rPr>
                <w:sz w:val="18"/>
                <w:szCs w:val="18"/>
              </w:rPr>
            </w:pPr>
            <w:r>
              <w:rPr>
                <w:sz w:val="18"/>
                <w:szCs w:val="18"/>
              </w:rPr>
              <w:t>40</w:t>
            </w:r>
            <w:r w:rsidRPr="0053410A">
              <w:rPr>
                <w:sz w:val="18"/>
                <w:szCs w:val="18"/>
              </w:rPr>
              <w:t>.00%</w:t>
            </w:r>
          </w:p>
        </w:tc>
        <w:tc>
          <w:tcPr>
            <w:tcW w:w="1225" w:type="dxa"/>
            <w:tcBorders>
              <w:bottom w:val="single" w:sz="2" w:space="0" w:color="auto"/>
            </w:tcBorders>
            <w:shd w:val="clear" w:color="auto" w:fill="FFFFFF" w:themeFill="background1"/>
            <w:vAlign w:val="center"/>
            <w:hideMark/>
          </w:tcPr>
          <w:p w:rsidR="004332FE" w:rsidRDefault="004332FE" w:rsidP="00C23812">
            <w:pPr>
              <w:jc w:val="center"/>
              <w:rPr>
                <w:sz w:val="18"/>
                <w:szCs w:val="18"/>
              </w:rPr>
            </w:pPr>
            <w:r>
              <w:rPr>
                <w:sz w:val="18"/>
                <w:szCs w:val="18"/>
              </w:rPr>
              <w:t>10</w:t>
            </w:r>
            <w:r w:rsidRPr="0053410A">
              <w:rPr>
                <w:sz w:val="18"/>
                <w:szCs w:val="18"/>
              </w:rPr>
              <w:t>.00%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2149" w:type="dxa"/>
            <w:tcBorders>
              <w:bottom w:val="single" w:sz="2" w:space="0" w:color="auto"/>
            </w:tcBorders>
            <w:shd w:val="clear" w:color="auto" w:fill="FFFFFF" w:themeFill="background1"/>
            <w:noWrap/>
            <w:vAlign w:val="center"/>
            <w:hideMark/>
          </w:tcPr>
          <w:p w:rsidR="004332FE" w:rsidRDefault="004332FE" w:rsidP="00C23812">
            <w:pPr>
              <w:jc w:val="center"/>
              <w:rPr>
                <w:sz w:val="18"/>
                <w:szCs w:val="18"/>
              </w:rPr>
            </w:pPr>
            <w:r w:rsidRPr="0053410A">
              <w:rPr>
                <w:sz w:val="18"/>
                <w:szCs w:val="18"/>
              </w:rPr>
              <w:t>10.00%</w:t>
            </w:r>
          </w:p>
        </w:tc>
        <w:tc>
          <w:tcPr>
            <w:tcW w:w="1428" w:type="dxa"/>
            <w:tcBorders>
              <w:bottom w:val="single" w:sz="2" w:space="0" w:color="auto"/>
            </w:tcBorders>
            <w:shd w:val="clear" w:color="auto" w:fill="FFFFFF" w:themeFill="background1"/>
            <w:noWrap/>
            <w:vAlign w:val="center"/>
            <w:hideMark/>
          </w:tcPr>
          <w:p w:rsidR="00800B13" w:rsidRDefault="00FF3169">
            <w:pPr>
              <w:jc w:val="center"/>
              <w:rPr>
                <w:sz w:val="18"/>
                <w:szCs w:val="18"/>
              </w:rPr>
            </w:pPr>
            <w:r>
              <w:rPr>
                <w:sz w:val="18"/>
                <w:szCs w:val="18"/>
              </w:rPr>
              <w:t>$1,</w:t>
            </w:r>
            <w:r w:rsidR="007C5E04">
              <w:rPr>
                <w:sz w:val="18"/>
                <w:szCs w:val="18"/>
              </w:rPr>
              <w:t>260</w:t>
            </w:r>
            <w:r>
              <w:rPr>
                <w:sz w:val="18"/>
                <w:szCs w:val="18"/>
              </w:rPr>
              <w:t>.</w:t>
            </w:r>
            <w:r w:rsidR="00C26312">
              <w:rPr>
                <w:sz w:val="18"/>
                <w:szCs w:val="18"/>
              </w:rPr>
              <w:t>00</w:t>
            </w:r>
          </w:p>
        </w:tc>
        <w:tc>
          <w:tcPr>
            <w:tcW w:w="1834" w:type="dxa"/>
            <w:tcBorders>
              <w:bottom w:val="single" w:sz="2" w:space="0" w:color="auto"/>
            </w:tcBorders>
            <w:shd w:val="clear" w:color="auto" w:fill="FFFFFF" w:themeFill="background1"/>
            <w:vAlign w:val="center"/>
          </w:tcPr>
          <w:p w:rsidR="00800B13" w:rsidRDefault="007C5E04">
            <w:pPr>
              <w:jc w:val="center"/>
              <w:rPr>
                <w:sz w:val="18"/>
                <w:szCs w:val="18"/>
              </w:rPr>
            </w:pPr>
            <w:r>
              <w:rPr>
                <w:sz w:val="18"/>
                <w:szCs w:val="18"/>
              </w:rPr>
              <w:t>26.00%</w:t>
            </w:r>
          </w:p>
        </w:tc>
      </w:tr>
      <w:tr w:rsidR="004332FE" w:rsidTr="00C23812">
        <w:trPr>
          <w:trHeight w:val="165"/>
          <w:jc w:val="center"/>
        </w:trPr>
        <w:tc>
          <w:tcPr>
            <w:tcW w:w="1195" w:type="dxa"/>
            <w:tcBorders>
              <w:bottom w:val="single" w:sz="2" w:space="0" w:color="auto"/>
            </w:tcBorders>
            <w:shd w:val="clear" w:color="auto" w:fill="FFFFFF" w:themeFill="background1"/>
            <w:vAlign w:val="center"/>
            <w:hideMark/>
          </w:tcPr>
          <w:p w:rsidR="004332FE" w:rsidRPr="00667503" w:rsidRDefault="004332FE" w:rsidP="00C23812">
            <w:pPr>
              <w:jc w:val="center"/>
              <w:rPr>
                <w:sz w:val="18"/>
                <w:szCs w:val="18"/>
              </w:rPr>
            </w:pPr>
            <w:r w:rsidRPr="00667503">
              <w:rPr>
                <w:sz w:val="18"/>
                <w:szCs w:val="18"/>
              </w:rPr>
              <w:t>115.00</w:t>
            </w:r>
          </w:p>
        </w:tc>
        <w:tc>
          <w:tcPr>
            <w:tcW w:w="1227" w:type="dxa"/>
            <w:tcBorders>
              <w:bottom w:val="single" w:sz="2" w:space="0" w:color="auto"/>
            </w:tcBorders>
            <w:shd w:val="clear" w:color="auto" w:fill="FFFFFF" w:themeFill="background1"/>
            <w:vAlign w:val="center"/>
            <w:hideMark/>
          </w:tcPr>
          <w:p w:rsidR="004332FE" w:rsidRPr="00667503" w:rsidRDefault="004332FE" w:rsidP="00C23812">
            <w:pPr>
              <w:jc w:val="center"/>
              <w:rPr>
                <w:sz w:val="18"/>
                <w:szCs w:val="18"/>
              </w:rPr>
            </w:pPr>
            <w:r w:rsidRPr="00667503">
              <w:rPr>
                <w:sz w:val="18"/>
                <w:szCs w:val="18"/>
              </w:rPr>
              <w:t>105.00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1134" w:type="dxa"/>
            <w:tcBorders>
              <w:bottom w:val="single" w:sz="2" w:space="0" w:color="auto"/>
            </w:tcBorders>
            <w:shd w:val="clear" w:color="auto" w:fill="FFFFFF" w:themeFill="background1"/>
            <w:vAlign w:val="center"/>
            <w:hideMark/>
          </w:tcPr>
          <w:p w:rsidR="004332FE" w:rsidRDefault="004332FE" w:rsidP="00C23812">
            <w:pPr>
              <w:jc w:val="center"/>
              <w:rPr>
                <w:sz w:val="18"/>
                <w:szCs w:val="18"/>
              </w:rPr>
            </w:pPr>
            <w:r>
              <w:rPr>
                <w:sz w:val="18"/>
                <w:szCs w:val="18"/>
              </w:rPr>
              <w:t>15.00%</w:t>
            </w:r>
          </w:p>
        </w:tc>
        <w:tc>
          <w:tcPr>
            <w:tcW w:w="1225" w:type="dxa"/>
            <w:tcBorders>
              <w:bottom w:val="single" w:sz="2" w:space="0" w:color="auto"/>
            </w:tcBorders>
            <w:shd w:val="clear" w:color="auto" w:fill="FFFFFF" w:themeFill="background1"/>
            <w:vAlign w:val="center"/>
            <w:hideMark/>
          </w:tcPr>
          <w:p w:rsidR="004332FE" w:rsidRPr="0053410A" w:rsidRDefault="004332FE" w:rsidP="00C23812">
            <w:pPr>
              <w:jc w:val="center"/>
              <w:rPr>
                <w:sz w:val="18"/>
                <w:szCs w:val="18"/>
              </w:rPr>
            </w:pPr>
            <w:r>
              <w:rPr>
                <w:sz w:val="18"/>
                <w:szCs w:val="18"/>
              </w:rPr>
              <w:t>5.00%</w:t>
            </w:r>
          </w:p>
        </w:tc>
        <w:tc>
          <w:tcPr>
            <w:tcW w:w="236" w:type="dxa"/>
            <w:tcBorders>
              <w:bottom w:val="single" w:sz="2" w:space="0" w:color="auto"/>
            </w:tcBorders>
            <w:shd w:val="clear" w:color="auto" w:fill="FFFFFF" w:themeFill="background1"/>
            <w:vAlign w:val="center"/>
          </w:tcPr>
          <w:p w:rsidR="004332FE" w:rsidRDefault="004332FE" w:rsidP="00C23812">
            <w:pPr>
              <w:jc w:val="center"/>
              <w:rPr>
                <w:sz w:val="18"/>
                <w:szCs w:val="18"/>
              </w:rPr>
            </w:pPr>
          </w:p>
        </w:tc>
        <w:tc>
          <w:tcPr>
            <w:tcW w:w="2149" w:type="dxa"/>
            <w:tcBorders>
              <w:bottom w:val="single" w:sz="2" w:space="0" w:color="auto"/>
            </w:tcBorders>
            <w:shd w:val="clear" w:color="auto" w:fill="FFFFFF" w:themeFill="background1"/>
            <w:noWrap/>
            <w:vAlign w:val="center"/>
            <w:hideMark/>
          </w:tcPr>
          <w:p w:rsidR="004332FE" w:rsidRPr="0053410A" w:rsidRDefault="004332FE" w:rsidP="00C23812">
            <w:pPr>
              <w:jc w:val="center"/>
              <w:rPr>
                <w:sz w:val="18"/>
                <w:szCs w:val="18"/>
              </w:rPr>
            </w:pPr>
            <w:r>
              <w:rPr>
                <w:sz w:val="18"/>
                <w:szCs w:val="18"/>
              </w:rPr>
              <w:t>5.00%</w:t>
            </w:r>
          </w:p>
        </w:tc>
        <w:tc>
          <w:tcPr>
            <w:tcW w:w="1428" w:type="dxa"/>
            <w:tcBorders>
              <w:bottom w:val="single" w:sz="2" w:space="0" w:color="auto"/>
            </w:tcBorders>
            <w:shd w:val="clear" w:color="auto" w:fill="FFFFFF" w:themeFill="background1"/>
            <w:noWrap/>
            <w:vAlign w:val="center"/>
            <w:hideMark/>
          </w:tcPr>
          <w:p w:rsidR="00800B13" w:rsidRDefault="00FF3169">
            <w:pPr>
              <w:jc w:val="center"/>
              <w:rPr>
                <w:sz w:val="18"/>
                <w:szCs w:val="18"/>
              </w:rPr>
            </w:pPr>
            <w:r>
              <w:rPr>
                <w:sz w:val="18"/>
                <w:szCs w:val="18"/>
              </w:rPr>
              <w:t>$1,</w:t>
            </w:r>
            <w:r w:rsidR="007C5E04">
              <w:rPr>
                <w:sz w:val="18"/>
                <w:szCs w:val="18"/>
              </w:rPr>
              <w:t>130</w:t>
            </w:r>
            <w:r w:rsidR="00CC2AF3">
              <w:rPr>
                <w:sz w:val="18"/>
                <w:szCs w:val="18"/>
              </w:rPr>
              <w:t>.00</w:t>
            </w:r>
          </w:p>
        </w:tc>
        <w:tc>
          <w:tcPr>
            <w:tcW w:w="1834" w:type="dxa"/>
            <w:tcBorders>
              <w:bottom w:val="single" w:sz="2" w:space="0" w:color="auto"/>
            </w:tcBorders>
            <w:shd w:val="clear" w:color="auto" w:fill="FFFFFF" w:themeFill="background1"/>
            <w:vAlign w:val="center"/>
          </w:tcPr>
          <w:p w:rsidR="00800B13" w:rsidRDefault="007C5E04" w:rsidP="00CC2AF3">
            <w:pPr>
              <w:jc w:val="center"/>
              <w:rPr>
                <w:sz w:val="18"/>
                <w:szCs w:val="18"/>
              </w:rPr>
            </w:pPr>
            <w:r>
              <w:rPr>
                <w:sz w:val="18"/>
                <w:szCs w:val="18"/>
              </w:rPr>
              <w:t>13.00</w:t>
            </w:r>
            <w:r w:rsidR="00FF3169">
              <w:rPr>
                <w:sz w:val="18"/>
                <w:szCs w:val="18"/>
              </w:rPr>
              <w:t>%</w:t>
            </w:r>
          </w:p>
        </w:tc>
      </w:tr>
      <w:tr w:rsidR="00667503" w:rsidTr="00C67381">
        <w:trPr>
          <w:trHeight w:val="165"/>
          <w:jc w:val="center"/>
        </w:trPr>
        <w:tc>
          <w:tcPr>
            <w:tcW w:w="1195" w:type="dxa"/>
            <w:tcBorders>
              <w:bottom w:val="single" w:sz="2" w:space="0" w:color="auto"/>
            </w:tcBorders>
            <w:shd w:val="clear" w:color="auto" w:fill="D9D9D9" w:themeFill="background1" w:themeFillShade="D9"/>
            <w:vAlign w:val="center"/>
            <w:hideMark/>
          </w:tcPr>
          <w:p w:rsidR="00667503" w:rsidRPr="00667503" w:rsidRDefault="00667503" w:rsidP="00C23812">
            <w:pPr>
              <w:jc w:val="center"/>
              <w:rPr>
                <w:sz w:val="18"/>
                <w:szCs w:val="18"/>
              </w:rPr>
            </w:pPr>
            <w:r w:rsidRPr="00667503">
              <w:rPr>
                <w:sz w:val="18"/>
                <w:szCs w:val="18"/>
              </w:rPr>
              <w:t>110.00</w:t>
            </w:r>
          </w:p>
        </w:tc>
        <w:tc>
          <w:tcPr>
            <w:tcW w:w="1227" w:type="dxa"/>
            <w:tcBorders>
              <w:bottom w:val="single" w:sz="2" w:space="0" w:color="auto"/>
            </w:tcBorders>
            <w:shd w:val="clear" w:color="auto" w:fill="D9D9D9" w:themeFill="background1" w:themeFillShade="D9"/>
            <w:vAlign w:val="center"/>
            <w:hideMark/>
          </w:tcPr>
          <w:p w:rsidR="00667503" w:rsidRPr="00667503" w:rsidRDefault="00667503" w:rsidP="00C23812">
            <w:pPr>
              <w:jc w:val="center"/>
              <w:rPr>
                <w:sz w:val="18"/>
                <w:szCs w:val="18"/>
              </w:rPr>
            </w:pPr>
            <w:r w:rsidRPr="00667503">
              <w:rPr>
                <w:sz w:val="18"/>
                <w:szCs w:val="18"/>
              </w:rPr>
              <w:t>100.00</w:t>
            </w:r>
          </w:p>
        </w:tc>
        <w:tc>
          <w:tcPr>
            <w:tcW w:w="236" w:type="dxa"/>
            <w:shd w:val="clear" w:color="auto" w:fill="FFFFFF" w:themeFill="background1"/>
            <w:vAlign w:val="center"/>
          </w:tcPr>
          <w:p w:rsidR="00667503" w:rsidRDefault="00667503" w:rsidP="00C23812">
            <w:pPr>
              <w:jc w:val="center"/>
              <w:rPr>
                <w:sz w:val="18"/>
                <w:szCs w:val="18"/>
              </w:rPr>
            </w:pPr>
          </w:p>
        </w:tc>
        <w:tc>
          <w:tcPr>
            <w:tcW w:w="1134" w:type="dxa"/>
            <w:tcBorders>
              <w:bottom w:val="single" w:sz="2" w:space="0" w:color="auto"/>
            </w:tcBorders>
            <w:shd w:val="clear" w:color="auto" w:fill="D9D9D9" w:themeFill="background1" w:themeFillShade="D9"/>
            <w:vAlign w:val="center"/>
            <w:hideMark/>
          </w:tcPr>
          <w:p w:rsidR="00667503" w:rsidRDefault="00667503" w:rsidP="00C23812">
            <w:pPr>
              <w:jc w:val="center"/>
              <w:rPr>
                <w:sz w:val="18"/>
                <w:szCs w:val="18"/>
              </w:rPr>
            </w:pPr>
            <w:r>
              <w:rPr>
                <w:sz w:val="18"/>
                <w:szCs w:val="18"/>
              </w:rPr>
              <w:t>1</w:t>
            </w:r>
            <w:r w:rsidRPr="0053410A">
              <w:rPr>
                <w:sz w:val="18"/>
                <w:szCs w:val="18"/>
              </w:rPr>
              <w:t>0.00%</w:t>
            </w:r>
          </w:p>
        </w:tc>
        <w:tc>
          <w:tcPr>
            <w:tcW w:w="1225" w:type="dxa"/>
            <w:tcBorders>
              <w:bottom w:val="single" w:sz="2" w:space="0" w:color="auto"/>
            </w:tcBorders>
            <w:shd w:val="clear" w:color="auto" w:fill="D9D9D9" w:themeFill="background1" w:themeFillShade="D9"/>
            <w:vAlign w:val="center"/>
            <w:hideMark/>
          </w:tcPr>
          <w:p w:rsidR="00667503" w:rsidRDefault="00667503" w:rsidP="00C23812">
            <w:pPr>
              <w:jc w:val="center"/>
              <w:rPr>
                <w:sz w:val="18"/>
                <w:szCs w:val="18"/>
              </w:rPr>
            </w:pPr>
            <w:r w:rsidRPr="0053410A">
              <w:rPr>
                <w:sz w:val="18"/>
                <w:szCs w:val="18"/>
              </w:rPr>
              <w:t>0.00%</w:t>
            </w:r>
          </w:p>
        </w:tc>
        <w:tc>
          <w:tcPr>
            <w:tcW w:w="236" w:type="dxa"/>
            <w:shd w:val="clear" w:color="auto" w:fill="FFFFFF" w:themeFill="background1"/>
            <w:vAlign w:val="center"/>
          </w:tcPr>
          <w:p w:rsidR="00667503" w:rsidRDefault="00667503" w:rsidP="00C23812">
            <w:pPr>
              <w:jc w:val="center"/>
              <w:rPr>
                <w:sz w:val="18"/>
                <w:szCs w:val="18"/>
              </w:rPr>
            </w:pPr>
          </w:p>
        </w:tc>
        <w:tc>
          <w:tcPr>
            <w:tcW w:w="2149" w:type="dxa"/>
            <w:tcBorders>
              <w:bottom w:val="single" w:sz="2" w:space="0" w:color="auto"/>
            </w:tcBorders>
            <w:shd w:val="clear" w:color="auto" w:fill="D9D9D9" w:themeFill="background1" w:themeFillShade="D9"/>
            <w:noWrap/>
            <w:vAlign w:val="center"/>
            <w:hideMark/>
          </w:tcPr>
          <w:p w:rsidR="00667503" w:rsidRDefault="00667503" w:rsidP="00C23812">
            <w:pPr>
              <w:jc w:val="center"/>
              <w:rPr>
                <w:sz w:val="18"/>
                <w:szCs w:val="18"/>
              </w:rPr>
            </w:pPr>
            <w:r w:rsidRPr="0053410A">
              <w:rPr>
                <w:sz w:val="18"/>
                <w:szCs w:val="18"/>
              </w:rPr>
              <w:t>0.00%</w:t>
            </w:r>
          </w:p>
        </w:tc>
        <w:tc>
          <w:tcPr>
            <w:tcW w:w="1428" w:type="dxa"/>
            <w:tcBorders>
              <w:bottom w:val="single" w:sz="2" w:space="0" w:color="auto"/>
            </w:tcBorders>
            <w:shd w:val="clear" w:color="auto" w:fill="D9D9D9" w:themeFill="background1" w:themeFillShade="D9"/>
            <w:noWrap/>
            <w:vAlign w:val="center"/>
            <w:hideMark/>
          </w:tcPr>
          <w:p w:rsidR="00667503" w:rsidRDefault="00667503" w:rsidP="00C23812">
            <w:pPr>
              <w:jc w:val="center"/>
              <w:rPr>
                <w:sz w:val="18"/>
                <w:szCs w:val="18"/>
              </w:rPr>
            </w:pPr>
            <w:r>
              <w:rPr>
                <w:sz w:val="18"/>
                <w:szCs w:val="18"/>
              </w:rPr>
              <w:t>$1,000.00</w:t>
            </w:r>
          </w:p>
        </w:tc>
        <w:tc>
          <w:tcPr>
            <w:tcW w:w="1834" w:type="dxa"/>
            <w:tcBorders>
              <w:bottom w:val="single" w:sz="2" w:space="0" w:color="auto"/>
            </w:tcBorders>
            <w:shd w:val="clear" w:color="auto" w:fill="D9D9D9" w:themeFill="background1" w:themeFillShade="D9"/>
            <w:vAlign w:val="center"/>
          </w:tcPr>
          <w:p w:rsidR="00667503" w:rsidRPr="0053410A" w:rsidRDefault="00667503" w:rsidP="00C23812">
            <w:pPr>
              <w:jc w:val="center"/>
              <w:rPr>
                <w:sz w:val="18"/>
                <w:szCs w:val="18"/>
              </w:rPr>
            </w:pPr>
            <w:r>
              <w:rPr>
                <w:sz w:val="18"/>
                <w:szCs w:val="18"/>
              </w:rPr>
              <w:t>0.00%</w:t>
            </w:r>
          </w:p>
        </w:tc>
      </w:tr>
      <w:tr w:rsidR="00667503" w:rsidTr="00C23812">
        <w:trPr>
          <w:trHeight w:val="122"/>
          <w:jc w:val="center"/>
        </w:trPr>
        <w:tc>
          <w:tcPr>
            <w:tcW w:w="1195" w:type="dxa"/>
            <w:shd w:val="clear" w:color="auto" w:fill="D9D9D9" w:themeFill="background1" w:themeFillShade="D9"/>
            <w:vAlign w:val="center"/>
            <w:hideMark/>
          </w:tcPr>
          <w:p w:rsidR="00667503" w:rsidRPr="00667503" w:rsidRDefault="00667503" w:rsidP="00C23812">
            <w:pPr>
              <w:jc w:val="center"/>
              <w:rPr>
                <w:sz w:val="18"/>
                <w:szCs w:val="18"/>
              </w:rPr>
            </w:pPr>
            <w:r w:rsidRPr="00667503">
              <w:rPr>
                <w:sz w:val="18"/>
                <w:szCs w:val="18"/>
              </w:rPr>
              <w:t>90.00</w:t>
            </w:r>
          </w:p>
        </w:tc>
        <w:tc>
          <w:tcPr>
            <w:tcW w:w="1227" w:type="dxa"/>
            <w:shd w:val="clear" w:color="auto" w:fill="D9D9D9" w:themeFill="background1" w:themeFillShade="D9"/>
            <w:vAlign w:val="center"/>
            <w:hideMark/>
          </w:tcPr>
          <w:p w:rsidR="00667503" w:rsidRPr="00667503" w:rsidRDefault="00667503" w:rsidP="00C23812">
            <w:pPr>
              <w:jc w:val="center"/>
              <w:rPr>
                <w:sz w:val="18"/>
                <w:szCs w:val="18"/>
              </w:rPr>
            </w:pPr>
            <w:r w:rsidRPr="00667503">
              <w:rPr>
                <w:sz w:val="18"/>
                <w:szCs w:val="18"/>
              </w:rPr>
              <w:t>102.50</w:t>
            </w:r>
          </w:p>
        </w:tc>
        <w:tc>
          <w:tcPr>
            <w:tcW w:w="236" w:type="dxa"/>
            <w:shd w:val="clear" w:color="auto" w:fill="FFFFFF" w:themeFill="background1"/>
            <w:vAlign w:val="center"/>
          </w:tcPr>
          <w:p w:rsidR="00667503" w:rsidRDefault="00667503" w:rsidP="00C23812">
            <w:pPr>
              <w:jc w:val="center"/>
              <w:rPr>
                <w:sz w:val="18"/>
                <w:szCs w:val="18"/>
              </w:rPr>
            </w:pPr>
          </w:p>
        </w:tc>
        <w:tc>
          <w:tcPr>
            <w:tcW w:w="1134" w:type="dxa"/>
            <w:shd w:val="clear" w:color="auto" w:fill="D9D9D9" w:themeFill="background1" w:themeFillShade="D9"/>
            <w:vAlign w:val="center"/>
            <w:hideMark/>
          </w:tcPr>
          <w:p w:rsidR="00667503" w:rsidRDefault="00667503" w:rsidP="00C23812">
            <w:pPr>
              <w:jc w:val="center"/>
              <w:rPr>
                <w:sz w:val="18"/>
                <w:szCs w:val="18"/>
              </w:rPr>
            </w:pPr>
            <w:r w:rsidRPr="0053410A">
              <w:rPr>
                <w:sz w:val="18"/>
                <w:szCs w:val="18"/>
              </w:rPr>
              <w:t>-10.00%</w:t>
            </w:r>
          </w:p>
        </w:tc>
        <w:tc>
          <w:tcPr>
            <w:tcW w:w="1225" w:type="dxa"/>
            <w:shd w:val="clear" w:color="auto" w:fill="D9D9D9" w:themeFill="background1" w:themeFillShade="D9"/>
            <w:vAlign w:val="center"/>
            <w:hideMark/>
          </w:tcPr>
          <w:p w:rsidR="00667503" w:rsidRDefault="00667503" w:rsidP="00C23812">
            <w:pPr>
              <w:jc w:val="center"/>
              <w:rPr>
                <w:sz w:val="18"/>
                <w:szCs w:val="18"/>
              </w:rPr>
            </w:pPr>
            <w:r w:rsidRPr="0053410A">
              <w:rPr>
                <w:sz w:val="18"/>
                <w:szCs w:val="18"/>
              </w:rPr>
              <w:t>2.50%</w:t>
            </w:r>
          </w:p>
        </w:tc>
        <w:tc>
          <w:tcPr>
            <w:tcW w:w="236" w:type="dxa"/>
            <w:shd w:val="clear" w:color="auto" w:fill="FFFFFF" w:themeFill="background1"/>
            <w:vAlign w:val="center"/>
          </w:tcPr>
          <w:p w:rsidR="00667503" w:rsidRDefault="00667503" w:rsidP="00C23812">
            <w:pPr>
              <w:jc w:val="center"/>
              <w:rPr>
                <w:sz w:val="18"/>
                <w:szCs w:val="18"/>
              </w:rPr>
            </w:pPr>
          </w:p>
        </w:tc>
        <w:tc>
          <w:tcPr>
            <w:tcW w:w="2149" w:type="dxa"/>
            <w:shd w:val="clear" w:color="auto" w:fill="D9D9D9" w:themeFill="background1" w:themeFillShade="D9"/>
            <w:noWrap/>
            <w:vAlign w:val="center"/>
            <w:hideMark/>
          </w:tcPr>
          <w:p w:rsidR="00667503" w:rsidRDefault="00667503" w:rsidP="00C23812">
            <w:pPr>
              <w:jc w:val="center"/>
              <w:rPr>
                <w:sz w:val="18"/>
                <w:szCs w:val="18"/>
              </w:rPr>
            </w:pPr>
            <w:r w:rsidRPr="0053410A">
              <w:rPr>
                <w:sz w:val="18"/>
                <w:szCs w:val="18"/>
              </w:rPr>
              <w:t>-10.00%</w:t>
            </w:r>
          </w:p>
        </w:tc>
        <w:tc>
          <w:tcPr>
            <w:tcW w:w="1428" w:type="dxa"/>
            <w:shd w:val="clear" w:color="auto" w:fill="D9D9D9" w:themeFill="background1" w:themeFillShade="D9"/>
            <w:noWrap/>
            <w:vAlign w:val="center"/>
            <w:hideMark/>
          </w:tcPr>
          <w:p w:rsidR="00667503" w:rsidRDefault="00667503" w:rsidP="00C23812">
            <w:pPr>
              <w:jc w:val="center"/>
              <w:rPr>
                <w:sz w:val="18"/>
                <w:szCs w:val="18"/>
              </w:rPr>
            </w:pPr>
            <w:r>
              <w:rPr>
                <w:sz w:val="18"/>
                <w:szCs w:val="18"/>
              </w:rPr>
              <w:t>$1,000.00</w:t>
            </w:r>
          </w:p>
        </w:tc>
        <w:tc>
          <w:tcPr>
            <w:tcW w:w="1834" w:type="dxa"/>
            <w:shd w:val="clear" w:color="auto" w:fill="D9D9D9" w:themeFill="background1" w:themeFillShade="D9"/>
            <w:vAlign w:val="center"/>
          </w:tcPr>
          <w:p w:rsidR="00667503" w:rsidRPr="0053410A" w:rsidRDefault="00667503" w:rsidP="00C23812">
            <w:pPr>
              <w:jc w:val="center"/>
              <w:rPr>
                <w:sz w:val="18"/>
                <w:szCs w:val="18"/>
              </w:rPr>
            </w:pPr>
            <w:r>
              <w:rPr>
                <w:sz w:val="18"/>
                <w:szCs w:val="18"/>
              </w:rPr>
              <w:t>0.00%</w:t>
            </w:r>
          </w:p>
        </w:tc>
      </w:tr>
      <w:tr w:rsidR="00161823" w:rsidTr="00161823">
        <w:trPr>
          <w:trHeight w:val="80"/>
          <w:jc w:val="center"/>
        </w:trPr>
        <w:tc>
          <w:tcPr>
            <w:tcW w:w="1195" w:type="dxa"/>
            <w:tcBorders>
              <w:bottom w:val="single" w:sz="2" w:space="0" w:color="auto"/>
            </w:tcBorders>
            <w:shd w:val="clear" w:color="auto" w:fill="D9D9D9" w:themeFill="background1" w:themeFillShade="D9"/>
            <w:vAlign w:val="center"/>
            <w:hideMark/>
          </w:tcPr>
          <w:p w:rsidR="00161823" w:rsidRPr="00667503" w:rsidRDefault="00161823" w:rsidP="00C23812">
            <w:pPr>
              <w:jc w:val="center"/>
              <w:rPr>
                <w:sz w:val="18"/>
                <w:szCs w:val="18"/>
              </w:rPr>
            </w:pPr>
            <w:r w:rsidRPr="00667503">
              <w:rPr>
                <w:sz w:val="18"/>
                <w:szCs w:val="18"/>
              </w:rPr>
              <w:t>80.00</w:t>
            </w:r>
          </w:p>
        </w:tc>
        <w:tc>
          <w:tcPr>
            <w:tcW w:w="1227" w:type="dxa"/>
            <w:tcBorders>
              <w:bottom w:val="single" w:sz="2" w:space="0" w:color="auto"/>
            </w:tcBorders>
            <w:shd w:val="clear" w:color="auto" w:fill="D9D9D9" w:themeFill="background1" w:themeFillShade="D9"/>
            <w:vAlign w:val="center"/>
            <w:hideMark/>
          </w:tcPr>
          <w:p w:rsidR="00161823" w:rsidRPr="00667503" w:rsidRDefault="00161823" w:rsidP="00C23812">
            <w:pPr>
              <w:jc w:val="center"/>
              <w:rPr>
                <w:sz w:val="18"/>
                <w:szCs w:val="18"/>
              </w:rPr>
            </w:pPr>
            <w:r w:rsidRPr="00667503">
              <w:rPr>
                <w:sz w:val="18"/>
                <w:szCs w:val="18"/>
              </w:rPr>
              <w:t>120.00</w:t>
            </w:r>
          </w:p>
        </w:tc>
        <w:tc>
          <w:tcPr>
            <w:tcW w:w="236" w:type="dxa"/>
            <w:shd w:val="clear" w:color="auto" w:fill="auto"/>
            <w:vAlign w:val="center"/>
          </w:tcPr>
          <w:p w:rsidR="00161823" w:rsidRDefault="00161823" w:rsidP="00C23812">
            <w:pPr>
              <w:jc w:val="center"/>
              <w:rPr>
                <w:sz w:val="18"/>
                <w:szCs w:val="18"/>
              </w:rPr>
            </w:pPr>
          </w:p>
        </w:tc>
        <w:tc>
          <w:tcPr>
            <w:tcW w:w="1134" w:type="dxa"/>
            <w:tcBorders>
              <w:bottom w:val="single" w:sz="2" w:space="0" w:color="auto"/>
            </w:tcBorders>
            <w:shd w:val="clear" w:color="auto" w:fill="D9D9D9" w:themeFill="background1" w:themeFillShade="D9"/>
            <w:vAlign w:val="center"/>
            <w:hideMark/>
          </w:tcPr>
          <w:p w:rsidR="00161823" w:rsidRDefault="00161823" w:rsidP="00C23812">
            <w:pPr>
              <w:jc w:val="center"/>
              <w:rPr>
                <w:sz w:val="18"/>
                <w:szCs w:val="18"/>
              </w:rPr>
            </w:pPr>
            <w:r>
              <w:rPr>
                <w:sz w:val="18"/>
                <w:szCs w:val="18"/>
              </w:rPr>
              <w:t>-</w:t>
            </w:r>
            <w:r w:rsidRPr="0053410A">
              <w:rPr>
                <w:sz w:val="18"/>
                <w:szCs w:val="18"/>
              </w:rPr>
              <w:t>2</w:t>
            </w:r>
            <w:r>
              <w:rPr>
                <w:sz w:val="18"/>
                <w:szCs w:val="18"/>
              </w:rPr>
              <w:t>0</w:t>
            </w:r>
            <w:r w:rsidRPr="0053410A">
              <w:rPr>
                <w:sz w:val="18"/>
                <w:szCs w:val="18"/>
              </w:rPr>
              <w:t>.00%</w:t>
            </w:r>
          </w:p>
        </w:tc>
        <w:tc>
          <w:tcPr>
            <w:tcW w:w="1225" w:type="dxa"/>
            <w:tcBorders>
              <w:bottom w:val="single" w:sz="2" w:space="0" w:color="auto"/>
            </w:tcBorders>
            <w:shd w:val="clear" w:color="auto" w:fill="D9D9D9" w:themeFill="background1" w:themeFillShade="D9"/>
            <w:vAlign w:val="center"/>
            <w:hideMark/>
          </w:tcPr>
          <w:p w:rsidR="00161823" w:rsidRDefault="00161823" w:rsidP="00C23812">
            <w:pPr>
              <w:jc w:val="center"/>
              <w:rPr>
                <w:sz w:val="18"/>
                <w:szCs w:val="18"/>
              </w:rPr>
            </w:pPr>
            <w:r>
              <w:rPr>
                <w:sz w:val="18"/>
                <w:szCs w:val="18"/>
              </w:rPr>
              <w:t>2</w:t>
            </w:r>
            <w:r w:rsidRPr="0053410A">
              <w:rPr>
                <w:sz w:val="18"/>
                <w:szCs w:val="18"/>
              </w:rPr>
              <w:t>0.00%</w:t>
            </w:r>
          </w:p>
        </w:tc>
        <w:tc>
          <w:tcPr>
            <w:tcW w:w="236" w:type="dxa"/>
            <w:shd w:val="clear" w:color="auto" w:fill="auto"/>
            <w:vAlign w:val="center"/>
          </w:tcPr>
          <w:p w:rsidR="00161823" w:rsidRDefault="00161823" w:rsidP="00C23812">
            <w:pPr>
              <w:jc w:val="center"/>
              <w:rPr>
                <w:sz w:val="18"/>
                <w:szCs w:val="18"/>
              </w:rPr>
            </w:pPr>
          </w:p>
        </w:tc>
        <w:tc>
          <w:tcPr>
            <w:tcW w:w="2149" w:type="dxa"/>
            <w:tcBorders>
              <w:bottom w:val="single" w:sz="2" w:space="0" w:color="auto"/>
            </w:tcBorders>
            <w:shd w:val="clear" w:color="auto" w:fill="D9D9D9" w:themeFill="background1" w:themeFillShade="D9"/>
            <w:noWrap/>
            <w:vAlign w:val="center"/>
            <w:hideMark/>
          </w:tcPr>
          <w:p w:rsidR="00161823" w:rsidRDefault="00161823" w:rsidP="00C23812">
            <w:pPr>
              <w:jc w:val="center"/>
              <w:rPr>
                <w:sz w:val="18"/>
                <w:szCs w:val="18"/>
              </w:rPr>
            </w:pPr>
            <w:r w:rsidRPr="0053410A">
              <w:rPr>
                <w:sz w:val="18"/>
                <w:szCs w:val="18"/>
              </w:rPr>
              <w:t>-20.00%</w:t>
            </w:r>
          </w:p>
        </w:tc>
        <w:tc>
          <w:tcPr>
            <w:tcW w:w="1428" w:type="dxa"/>
            <w:tcBorders>
              <w:bottom w:val="single" w:sz="2" w:space="0" w:color="auto"/>
            </w:tcBorders>
            <w:shd w:val="clear" w:color="auto" w:fill="D9D9D9" w:themeFill="background1" w:themeFillShade="D9"/>
            <w:noWrap/>
            <w:vAlign w:val="center"/>
            <w:hideMark/>
          </w:tcPr>
          <w:p w:rsidR="00161823" w:rsidRDefault="00161823" w:rsidP="00DD4BB7">
            <w:pPr>
              <w:jc w:val="center"/>
              <w:rPr>
                <w:sz w:val="18"/>
                <w:szCs w:val="18"/>
              </w:rPr>
            </w:pPr>
            <w:r>
              <w:rPr>
                <w:sz w:val="18"/>
                <w:szCs w:val="18"/>
              </w:rPr>
              <w:t>$1,000.00</w:t>
            </w:r>
          </w:p>
        </w:tc>
        <w:tc>
          <w:tcPr>
            <w:tcW w:w="1834" w:type="dxa"/>
            <w:tcBorders>
              <w:bottom w:val="single" w:sz="2" w:space="0" w:color="auto"/>
            </w:tcBorders>
            <w:shd w:val="clear" w:color="auto" w:fill="D9D9D9" w:themeFill="background1" w:themeFillShade="D9"/>
            <w:vAlign w:val="center"/>
          </w:tcPr>
          <w:p w:rsidR="00161823" w:rsidRPr="0053410A" w:rsidRDefault="00161823" w:rsidP="00C23812">
            <w:pPr>
              <w:jc w:val="center"/>
              <w:rPr>
                <w:sz w:val="18"/>
                <w:szCs w:val="18"/>
              </w:rPr>
            </w:pPr>
            <w:r>
              <w:rPr>
                <w:sz w:val="18"/>
                <w:szCs w:val="18"/>
              </w:rPr>
              <w:t>0.00%</w:t>
            </w:r>
          </w:p>
        </w:tc>
      </w:tr>
      <w:tr w:rsidR="00161823" w:rsidTr="00161823">
        <w:trPr>
          <w:trHeight w:val="155"/>
          <w:jc w:val="center"/>
        </w:trPr>
        <w:tc>
          <w:tcPr>
            <w:tcW w:w="1195" w:type="dxa"/>
            <w:tcBorders>
              <w:bottom w:val="single" w:sz="2" w:space="0" w:color="auto"/>
            </w:tcBorders>
            <w:shd w:val="clear" w:color="auto" w:fill="D9D9D9" w:themeFill="background1" w:themeFillShade="D9"/>
            <w:vAlign w:val="center"/>
            <w:hideMark/>
          </w:tcPr>
          <w:p w:rsidR="00161823" w:rsidRPr="00667503" w:rsidRDefault="00161823" w:rsidP="00C23812">
            <w:pPr>
              <w:jc w:val="center"/>
              <w:rPr>
                <w:sz w:val="18"/>
                <w:szCs w:val="18"/>
              </w:rPr>
            </w:pPr>
            <w:r w:rsidRPr="00667503">
              <w:rPr>
                <w:sz w:val="18"/>
                <w:szCs w:val="18"/>
              </w:rPr>
              <w:t>95.00</w:t>
            </w:r>
          </w:p>
        </w:tc>
        <w:tc>
          <w:tcPr>
            <w:tcW w:w="1227" w:type="dxa"/>
            <w:tcBorders>
              <w:bottom w:val="single" w:sz="2" w:space="0" w:color="auto"/>
            </w:tcBorders>
            <w:shd w:val="clear" w:color="auto" w:fill="D9D9D9" w:themeFill="background1" w:themeFillShade="D9"/>
            <w:vAlign w:val="center"/>
            <w:hideMark/>
          </w:tcPr>
          <w:p w:rsidR="00161823" w:rsidRPr="00667503" w:rsidRDefault="00161823" w:rsidP="00C23812">
            <w:pPr>
              <w:jc w:val="center"/>
              <w:rPr>
                <w:sz w:val="18"/>
                <w:szCs w:val="18"/>
              </w:rPr>
            </w:pPr>
            <w:r w:rsidRPr="00667503">
              <w:rPr>
                <w:sz w:val="18"/>
                <w:szCs w:val="18"/>
              </w:rPr>
              <w:t>70.00</w:t>
            </w:r>
          </w:p>
        </w:tc>
        <w:tc>
          <w:tcPr>
            <w:tcW w:w="236" w:type="dxa"/>
            <w:tcBorders>
              <w:bottom w:val="single" w:sz="2" w:space="0" w:color="auto"/>
            </w:tcBorders>
            <w:shd w:val="clear" w:color="auto" w:fill="auto"/>
            <w:vAlign w:val="center"/>
          </w:tcPr>
          <w:p w:rsidR="00161823" w:rsidRDefault="00161823" w:rsidP="00C23812">
            <w:pPr>
              <w:jc w:val="center"/>
              <w:rPr>
                <w:sz w:val="18"/>
                <w:szCs w:val="18"/>
              </w:rPr>
            </w:pPr>
          </w:p>
        </w:tc>
        <w:tc>
          <w:tcPr>
            <w:tcW w:w="1134" w:type="dxa"/>
            <w:tcBorders>
              <w:bottom w:val="single" w:sz="2" w:space="0" w:color="auto"/>
            </w:tcBorders>
            <w:shd w:val="clear" w:color="auto" w:fill="D9D9D9" w:themeFill="background1" w:themeFillShade="D9"/>
            <w:vAlign w:val="center"/>
            <w:hideMark/>
          </w:tcPr>
          <w:p w:rsidR="00161823" w:rsidRDefault="00161823" w:rsidP="00C23812">
            <w:pPr>
              <w:jc w:val="center"/>
              <w:rPr>
                <w:sz w:val="18"/>
                <w:szCs w:val="18"/>
              </w:rPr>
            </w:pPr>
            <w:r>
              <w:rPr>
                <w:sz w:val="18"/>
                <w:szCs w:val="18"/>
              </w:rPr>
              <w:t>-5.00%</w:t>
            </w:r>
          </w:p>
        </w:tc>
        <w:tc>
          <w:tcPr>
            <w:tcW w:w="1225" w:type="dxa"/>
            <w:tcBorders>
              <w:bottom w:val="single" w:sz="2" w:space="0" w:color="auto"/>
            </w:tcBorders>
            <w:shd w:val="clear" w:color="auto" w:fill="D9D9D9" w:themeFill="background1" w:themeFillShade="D9"/>
            <w:vAlign w:val="center"/>
            <w:hideMark/>
          </w:tcPr>
          <w:p w:rsidR="00161823" w:rsidRDefault="00161823" w:rsidP="00C23812">
            <w:pPr>
              <w:jc w:val="center"/>
              <w:rPr>
                <w:b/>
                <w:sz w:val="18"/>
                <w:szCs w:val="18"/>
              </w:rPr>
            </w:pPr>
            <w:r>
              <w:rPr>
                <w:sz w:val="18"/>
                <w:szCs w:val="18"/>
              </w:rPr>
              <w:t>-30.00%</w:t>
            </w:r>
          </w:p>
        </w:tc>
        <w:tc>
          <w:tcPr>
            <w:tcW w:w="236" w:type="dxa"/>
            <w:tcBorders>
              <w:bottom w:val="single" w:sz="2" w:space="0" w:color="auto"/>
            </w:tcBorders>
            <w:shd w:val="clear" w:color="auto" w:fill="auto"/>
            <w:vAlign w:val="center"/>
          </w:tcPr>
          <w:p w:rsidR="00161823" w:rsidRDefault="00161823" w:rsidP="00C23812">
            <w:pPr>
              <w:jc w:val="center"/>
              <w:rPr>
                <w:sz w:val="18"/>
                <w:szCs w:val="18"/>
              </w:rPr>
            </w:pPr>
          </w:p>
        </w:tc>
        <w:tc>
          <w:tcPr>
            <w:tcW w:w="2149" w:type="dxa"/>
            <w:tcBorders>
              <w:bottom w:val="single" w:sz="2" w:space="0" w:color="auto"/>
            </w:tcBorders>
            <w:shd w:val="clear" w:color="auto" w:fill="D9D9D9" w:themeFill="background1" w:themeFillShade="D9"/>
            <w:noWrap/>
            <w:vAlign w:val="center"/>
            <w:hideMark/>
          </w:tcPr>
          <w:p w:rsidR="00161823" w:rsidRDefault="00161823" w:rsidP="00C23812">
            <w:pPr>
              <w:jc w:val="center"/>
              <w:rPr>
                <w:sz w:val="18"/>
                <w:szCs w:val="18"/>
              </w:rPr>
            </w:pPr>
            <w:r>
              <w:rPr>
                <w:sz w:val="18"/>
                <w:szCs w:val="18"/>
              </w:rPr>
              <w:t>-30.00%</w:t>
            </w:r>
          </w:p>
        </w:tc>
        <w:tc>
          <w:tcPr>
            <w:tcW w:w="1428" w:type="dxa"/>
            <w:tcBorders>
              <w:bottom w:val="single" w:sz="2" w:space="0" w:color="auto"/>
            </w:tcBorders>
            <w:shd w:val="clear" w:color="auto" w:fill="D9D9D9" w:themeFill="background1" w:themeFillShade="D9"/>
            <w:noWrap/>
            <w:vAlign w:val="center"/>
            <w:hideMark/>
          </w:tcPr>
          <w:p w:rsidR="00161823" w:rsidRDefault="00161823" w:rsidP="00DD4BB7">
            <w:pPr>
              <w:jc w:val="center"/>
              <w:rPr>
                <w:sz w:val="18"/>
                <w:szCs w:val="18"/>
              </w:rPr>
            </w:pPr>
            <w:r>
              <w:rPr>
                <w:sz w:val="18"/>
                <w:szCs w:val="18"/>
              </w:rPr>
              <w:t>$1,000.00</w:t>
            </w:r>
          </w:p>
        </w:tc>
        <w:tc>
          <w:tcPr>
            <w:tcW w:w="1834" w:type="dxa"/>
            <w:tcBorders>
              <w:bottom w:val="single" w:sz="2" w:space="0" w:color="auto"/>
            </w:tcBorders>
            <w:shd w:val="clear" w:color="auto" w:fill="D9D9D9" w:themeFill="background1" w:themeFillShade="D9"/>
            <w:vAlign w:val="center"/>
          </w:tcPr>
          <w:p w:rsidR="00161823" w:rsidRDefault="00161823" w:rsidP="00DD4BB7">
            <w:pPr>
              <w:jc w:val="center"/>
              <w:rPr>
                <w:sz w:val="18"/>
                <w:szCs w:val="18"/>
              </w:rPr>
            </w:pPr>
            <w:r>
              <w:rPr>
                <w:sz w:val="18"/>
                <w:szCs w:val="18"/>
              </w:rPr>
              <w:t>0.00%</w:t>
            </w:r>
          </w:p>
        </w:tc>
      </w:tr>
      <w:tr w:rsidR="0022262B" w:rsidTr="00C23812">
        <w:trPr>
          <w:trHeight w:val="155"/>
          <w:jc w:val="center"/>
        </w:trPr>
        <w:tc>
          <w:tcPr>
            <w:tcW w:w="1195" w:type="dxa"/>
            <w:tcBorders>
              <w:bottom w:val="single" w:sz="2" w:space="0" w:color="auto"/>
            </w:tcBorders>
            <w:shd w:val="clear" w:color="auto" w:fill="FFFFFF" w:themeFill="background1"/>
            <w:vAlign w:val="center"/>
            <w:hideMark/>
          </w:tcPr>
          <w:p w:rsidR="0022262B" w:rsidRPr="00667503" w:rsidRDefault="0022262B" w:rsidP="0022262B">
            <w:pPr>
              <w:jc w:val="center"/>
              <w:rPr>
                <w:sz w:val="18"/>
                <w:szCs w:val="18"/>
              </w:rPr>
            </w:pPr>
            <w:r w:rsidRPr="00667503">
              <w:rPr>
                <w:sz w:val="18"/>
                <w:szCs w:val="18"/>
              </w:rPr>
              <w:t>105.00</w:t>
            </w:r>
          </w:p>
        </w:tc>
        <w:tc>
          <w:tcPr>
            <w:tcW w:w="1227" w:type="dxa"/>
            <w:tcBorders>
              <w:bottom w:val="single" w:sz="2" w:space="0" w:color="auto"/>
            </w:tcBorders>
            <w:shd w:val="clear" w:color="auto" w:fill="FFFFFF" w:themeFill="background1"/>
            <w:vAlign w:val="center"/>
            <w:hideMark/>
          </w:tcPr>
          <w:p w:rsidR="0022262B" w:rsidRPr="00667503" w:rsidRDefault="0022262B" w:rsidP="0022262B">
            <w:pPr>
              <w:jc w:val="center"/>
              <w:rPr>
                <w:sz w:val="18"/>
                <w:szCs w:val="18"/>
              </w:rPr>
            </w:pPr>
            <w:r w:rsidRPr="00667503">
              <w:rPr>
                <w:sz w:val="18"/>
                <w:szCs w:val="18"/>
              </w:rPr>
              <w:t>60.00</w:t>
            </w:r>
          </w:p>
        </w:tc>
        <w:tc>
          <w:tcPr>
            <w:tcW w:w="236" w:type="dxa"/>
            <w:tcBorders>
              <w:bottom w:val="single" w:sz="2" w:space="0" w:color="auto"/>
            </w:tcBorders>
            <w:shd w:val="clear" w:color="auto" w:fill="FFFFFF" w:themeFill="background1"/>
            <w:vAlign w:val="center"/>
          </w:tcPr>
          <w:p w:rsidR="0022262B" w:rsidRDefault="0022262B" w:rsidP="0022262B">
            <w:pPr>
              <w:jc w:val="center"/>
              <w:rPr>
                <w:sz w:val="18"/>
                <w:szCs w:val="18"/>
              </w:rPr>
            </w:pPr>
          </w:p>
        </w:tc>
        <w:tc>
          <w:tcPr>
            <w:tcW w:w="1134" w:type="dxa"/>
            <w:tcBorders>
              <w:bottom w:val="single" w:sz="2" w:space="0" w:color="auto"/>
            </w:tcBorders>
            <w:shd w:val="clear" w:color="auto" w:fill="FFFFFF" w:themeFill="background1"/>
            <w:vAlign w:val="center"/>
            <w:hideMark/>
          </w:tcPr>
          <w:p w:rsidR="0022262B" w:rsidRDefault="0022262B" w:rsidP="0022262B">
            <w:pPr>
              <w:jc w:val="center"/>
              <w:rPr>
                <w:sz w:val="18"/>
                <w:szCs w:val="18"/>
              </w:rPr>
            </w:pPr>
            <w:r>
              <w:rPr>
                <w:sz w:val="18"/>
                <w:szCs w:val="18"/>
              </w:rPr>
              <w:t>5.00%</w:t>
            </w:r>
          </w:p>
        </w:tc>
        <w:tc>
          <w:tcPr>
            <w:tcW w:w="1225" w:type="dxa"/>
            <w:tcBorders>
              <w:bottom w:val="single" w:sz="2" w:space="0" w:color="auto"/>
            </w:tcBorders>
            <w:shd w:val="clear" w:color="auto" w:fill="FFFFFF" w:themeFill="background1"/>
            <w:vAlign w:val="center"/>
            <w:hideMark/>
          </w:tcPr>
          <w:p w:rsidR="0022262B" w:rsidRDefault="0022262B" w:rsidP="0022262B">
            <w:pPr>
              <w:jc w:val="center"/>
              <w:rPr>
                <w:sz w:val="18"/>
                <w:szCs w:val="18"/>
              </w:rPr>
            </w:pPr>
            <w:r>
              <w:rPr>
                <w:sz w:val="18"/>
                <w:szCs w:val="18"/>
              </w:rPr>
              <w:t>-40.00%</w:t>
            </w:r>
          </w:p>
        </w:tc>
        <w:tc>
          <w:tcPr>
            <w:tcW w:w="236" w:type="dxa"/>
            <w:tcBorders>
              <w:bottom w:val="single" w:sz="2" w:space="0" w:color="auto"/>
            </w:tcBorders>
            <w:shd w:val="clear" w:color="auto" w:fill="FFFFFF" w:themeFill="background1"/>
            <w:vAlign w:val="center"/>
          </w:tcPr>
          <w:p w:rsidR="0022262B" w:rsidRDefault="0022262B" w:rsidP="0022262B">
            <w:pPr>
              <w:jc w:val="center"/>
              <w:rPr>
                <w:sz w:val="18"/>
                <w:szCs w:val="18"/>
              </w:rPr>
            </w:pPr>
          </w:p>
        </w:tc>
        <w:tc>
          <w:tcPr>
            <w:tcW w:w="2149" w:type="dxa"/>
            <w:tcBorders>
              <w:bottom w:val="single" w:sz="2" w:space="0" w:color="auto"/>
            </w:tcBorders>
            <w:shd w:val="clear" w:color="auto" w:fill="FFFFFF" w:themeFill="background1"/>
            <w:noWrap/>
            <w:vAlign w:val="center"/>
            <w:hideMark/>
          </w:tcPr>
          <w:p w:rsidR="0022262B" w:rsidRDefault="0022262B" w:rsidP="0022262B">
            <w:pPr>
              <w:jc w:val="center"/>
              <w:rPr>
                <w:sz w:val="18"/>
                <w:szCs w:val="18"/>
              </w:rPr>
            </w:pPr>
            <w:r>
              <w:rPr>
                <w:sz w:val="18"/>
                <w:szCs w:val="18"/>
              </w:rPr>
              <w:t>-40.00%</w:t>
            </w:r>
          </w:p>
        </w:tc>
        <w:tc>
          <w:tcPr>
            <w:tcW w:w="1428" w:type="dxa"/>
            <w:tcBorders>
              <w:bottom w:val="single" w:sz="2" w:space="0" w:color="auto"/>
            </w:tcBorders>
            <w:shd w:val="clear" w:color="auto" w:fill="FFFFFF" w:themeFill="background1"/>
            <w:noWrap/>
            <w:vAlign w:val="center"/>
            <w:hideMark/>
          </w:tcPr>
          <w:p w:rsidR="0022262B" w:rsidRPr="00667503" w:rsidRDefault="0022262B">
            <w:pPr>
              <w:jc w:val="center"/>
              <w:rPr>
                <w:sz w:val="18"/>
                <w:szCs w:val="18"/>
              </w:rPr>
            </w:pPr>
            <w:r w:rsidRPr="00667503">
              <w:rPr>
                <w:sz w:val="18"/>
                <w:szCs w:val="18"/>
              </w:rPr>
              <w:t>$</w:t>
            </w:r>
            <w:r>
              <w:rPr>
                <w:sz w:val="18"/>
                <w:szCs w:val="18"/>
              </w:rPr>
              <w:t>600</w:t>
            </w:r>
            <w:r w:rsidRPr="00667503">
              <w:rPr>
                <w:sz w:val="18"/>
                <w:szCs w:val="18"/>
              </w:rPr>
              <w:t>.00</w:t>
            </w:r>
          </w:p>
        </w:tc>
        <w:tc>
          <w:tcPr>
            <w:tcW w:w="1834" w:type="dxa"/>
            <w:tcBorders>
              <w:bottom w:val="single" w:sz="2" w:space="0" w:color="auto"/>
            </w:tcBorders>
            <w:shd w:val="clear" w:color="auto" w:fill="FFFFFF" w:themeFill="background1"/>
            <w:vAlign w:val="center"/>
          </w:tcPr>
          <w:p w:rsidR="0022262B" w:rsidRPr="00667503" w:rsidRDefault="0022262B" w:rsidP="0022262B">
            <w:pPr>
              <w:jc w:val="center"/>
              <w:rPr>
                <w:sz w:val="18"/>
                <w:szCs w:val="18"/>
              </w:rPr>
            </w:pPr>
            <w:r>
              <w:rPr>
                <w:sz w:val="18"/>
                <w:szCs w:val="18"/>
              </w:rPr>
              <w:t>-40.00%</w:t>
            </w:r>
          </w:p>
        </w:tc>
      </w:tr>
      <w:tr w:rsidR="0022262B" w:rsidTr="00C23812">
        <w:trPr>
          <w:trHeight w:val="80"/>
          <w:jc w:val="center"/>
        </w:trPr>
        <w:tc>
          <w:tcPr>
            <w:tcW w:w="1195" w:type="dxa"/>
            <w:shd w:val="clear" w:color="auto" w:fill="FFFFFF" w:themeFill="background1"/>
            <w:vAlign w:val="center"/>
            <w:hideMark/>
          </w:tcPr>
          <w:p w:rsidR="0022262B" w:rsidRPr="00667503" w:rsidRDefault="0022262B" w:rsidP="0022262B">
            <w:pPr>
              <w:jc w:val="center"/>
              <w:rPr>
                <w:sz w:val="18"/>
                <w:szCs w:val="18"/>
              </w:rPr>
            </w:pPr>
            <w:r w:rsidRPr="00667503">
              <w:rPr>
                <w:sz w:val="18"/>
                <w:szCs w:val="18"/>
              </w:rPr>
              <w:t>50.00</w:t>
            </w:r>
          </w:p>
        </w:tc>
        <w:tc>
          <w:tcPr>
            <w:tcW w:w="1227" w:type="dxa"/>
            <w:shd w:val="clear" w:color="auto" w:fill="FFFFFF" w:themeFill="background1"/>
            <w:vAlign w:val="center"/>
            <w:hideMark/>
          </w:tcPr>
          <w:p w:rsidR="0022262B" w:rsidRPr="00667503" w:rsidRDefault="0022262B" w:rsidP="0022262B">
            <w:pPr>
              <w:jc w:val="center"/>
              <w:rPr>
                <w:sz w:val="18"/>
                <w:szCs w:val="18"/>
              </w:rPr>
            </w:pPr>
            <w:r w:rsidRPr="00667503">
              <w:rPr>
                <w:sz w:val="18"/>
                <w:szCs w:val="18"/>
              </w:rPr>
              <w:t>120.00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FFFFFF" w:themeFill="background1"/>
            <w:vAlign w:val="center"/>
            <w:hideMark/>
          </w:tcPr>
          <w:p w:rsidR="0022262B" w:rsidRDefault="0022262B" w:rsidP="0022262B">
            <w:pPr>
              <w:jc w:val="center"/>
              <w:rPr>
                <w:sz w:val="18"/>
                <w:szCs w:val="18"/>
              </w:rPr>
            </w:pPr>
            <w:r w:rsidRPr="0053410A">
              <w:rPr>
                <w:sz w:val="18"/>
                <w:szCs w:val="18"/>
              </w:rPr>
              <w:t>-50.00%</w:t>
            </w:r>
          </w:p>
        </w:tc>
        <w:tc>
          <w:tcPr>
            <w:tcW w:w="1225" w:type="dxa"/>
            <w:shd w:val="clear" w:color="auto" w:fill="FFFFFF" w:themeFill="background1"/>
            <w:vAlign w:val="center"/>
            <w:hideMark/>
          </w:tcPr>
          <w:p w:rsidR="0022262B" w:rsidRDefault="0022262B" w:rsidP="0022262B">
            <w:pPr>
              <w:jc w:val="center"/>
              <w:rPr>
                <w:sz w:val="18"/>
                <w:szCs w:val="18"/>
              </w:rPr>
            </w:pPr>
            <w:r>
              <w:rPr>
                <w:sz w:val="18"/>
                <w:szCs w:val="18"/>
              </w:rPr>
              <w:t>20</w:t>
            </w:r>
            <w:r w:rsidRPr="0053410A">
              <w:rPr>
                <w:sz w:val="18"/>
                <w:szCs w:val="18"/>
              </w:rPr>
              <w:t>.00%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FFFFFF" w:themeFill="background1"/>
            <w:noWrap/>
            <w:vAlign w:val="center"/>
            <w:hideMark/>
          </w:tcPr>
          <w:p w:rsidR="0022262B" w:rsidRDefault="0022262B" w:rsidP="0022262B">
            <w:pPr>
              <w:jc w:val="center"/>
              <w:rPr>
                <w:sz w:val="18"/>
                <w:szCs w:val="18"/>
              </w:rPr>
            </w:pPr>
            <w:r w:rsidRPr="0053410A">
              <w:rPr>
                <w:sz w:val="18"/>
                <w:szCs w:val="18"/>
              </w:rPr>
              <w:t>-50.00%</w:t>
            </w:r>
          </w:p>
        </w:tc>
        <w:tc>
          <w:tcPr>
            <w:tcW w:w="1428" w:type="dxa"/>
            <w:shd w:val="clear" w:color="auto" w:fill="FFFFFF" w:themeFill="background1"/>
            <w:noWrap/>
            <w:vAlign w:val="center"/>
            <w:hideMark/>
          </w:tcPr>
          <w:p w:rsidR="0022262B" w:rsidRPr="00667503" w:rsidRDefault="0022262B">
            <w:pPr>
              <w:jc w:val="center"/>
              <w:rPr>
                <w:sz w:val="18"/>
                <w:szCs w:val="18"/>
              </w:rPr>
            </w:pPr>
            <w:r w:rsidRPr="00667503">
              <w:rPr>
                <w:sz w:val="18"/>
                <w:szCs w:val="18"/>
              </w:rPr>
              <w:t>$</w:t>
            </w:r>
            <w:r>
              <w:rPr>
                <w:sz w:val="18"/>
                <w:szCs w:val="18"/>
              </w:rPr>
              <w:t>500</w:t>
            </w:r>
            <w:r w:rsidRPr="00667503">
              <w:rPr>
                <w:sz w:val="18"/>
                <w:szCs w:val="18"/>
              </w:rPr>
              <w:t>.00</w:t>
            </w:r>
          </w:p>
        </w:tc>
        <w:tc>
          <w:tcPr>
            <w:tcW w:w="1834" w:type="dxa"/>
            <w:shd w:val="clear" w:color="auto" w:fill="FFFFFF" w:themeFill="background1"/>
            <w:vAlign w:val="center"/>
          </w:tcPr>
          <w:p w:rsidR="0022262B" w:rsidRPr="00667503" w:rsidRDefault="0022262B" w:rsidP="0022262B">
            <w:pPr>
              <w:jc w:val="center"/>
              <w:rPr>
                <w:sz w:val="18"/>
                <w:szCs w:val="18"/>
              </w:rPr>
            </w:pPr>
            <w:r w:rsidRPr="0053410A">
              <w:rPr>
                <w:sz w:val="18"/>
                <w:szCs w:val="18"/>
              </w:rPr>
              <w:t>-50.00%</w:t>
            </w:r>
          </w:p>
        </w:tc>
      </w:tr>
      <w:tr w:rsidR="0022262B" w:rsidTr="00C23812">
        <w:trPr>
          <w:trHeight w:val="71"/>
          <w:jc w:val="center"/>
        </w:trPr>
        <w:tc>
          <w:tcPr>
            <w:tcW w:w="1195" w:type="dxa"/>
            <w:shd w:val="clear" w:color="auto" w:fill="auto"/>
            <w:noWrap/>
            <w:vAlign w:val="center"/>
            <w:hideMark/>
          </w:tcPr>
          <w:p w:rsidR="0022262B" w:rsidRPr="00667503" w:rsidRDefault="0022262B" w:rsidP="0022262B">
            <w:pPr>
              <w:jc w:val="center"/>
              <w:rPr>
                <w:sz w:val="18"/>
                <w:szCs w:val="18"/>
              </w:rPr>
            </w:pPr>
            <w:r w:rsidRPr="00667503">
              <w:rPr>
                <w:sz w:val="18"/>
                <w:szCs w:val="18"/>
              </w:rPr>
              <w:t>40.00</w:t>
            </w:r>
          </w:p>
        </w:tc>
        <w:tc>
          <w:tcPr>
            <w:tcW w:w="1227" w:type="dxa"/>
            <w:shd w:val="clear" w:color="auto" w:fill="auto"/>
            <w:noWrap/>
            <w:vAlign w:val="center"/>
            <w:hideMark/>
          </w:tcPr>
          <w:p w:rsidR="0022262B" w:rsidRPr="00667503" w:rsidRDefault="0022262B" w:rsidP="0022262B">
            <w:pPr>
              <w:jc w:val="center"/>
              <w:rPr>
                <w:sz w:val="18"/>
                <w:szCs w:val="18"/>
              </w:rPr>
            </w:pPr>
            <w:r w:rsidRPr="00667503">
              <w:rPr>
                <w:sz w:val="18"/>
                <w:szCs w:val="18"/>
              </w:rPr>
              <w:t>135.00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auto"/>
            <w:vAlign w:val="center"/>
            <w:hideMark/>
          </w:tcPr>
          <w:p w:rsidR="0022262B" w:rsidRDefault="0022262B" w:rsidP="0022262B">
            <w:pPr>
              <w:jc w:val="center"/>
              <w:rPr>
                <w:sz w:val="18"/>
                <w:szCs w:val="18"/>
              </w:rPr>
            </w:pPr>
            <w:r w:rsidRPr="0053410A">
              <w:rPr>
                <w:sz w:val="18"/>
                <w:szCs w:val="18"/>
              </w:rPr>
              <w:t>-</w:t>
            </w:r>
            <w:r>
              <w:rPr>
                <w:sz w:val="18"/>
                <w:szCs w:val="18"/>
              </w:rPr>
              <w:t>6</w:t>
            </w:r>
            <w:r w:rsidRPr="0053410A">
              <w:rPr>
                <w:sz w:val="18"/>
                <w:szCs w:val="18"/>
              </w:rPr>
              <w:t>0.00%</w:t>
            </w:r>
          </w:p>
        </w:tc>
        <w:tc>
          <w:tcPr>
            <w:tcW w:w="1225" w:type="dxa"/>
            <w:shd w:val="clear" w:color="auto" w:fill="auto"/>
            <w:vAlign w:val="center"/>
            <w:hideMark/>
          </w:tcPr>
          <w:p w:rsidR="0022262B" w:rsidRDefault="0022262B" w:rsidP="0022262B">
            <w:pPr>
              <w:jc w:val="center"/>
              <w:rPr>
                <w:sz w:val="18"/>
                <w:szCs w:val="18"/>
              </w:rPr>
            </w:pPr>
            <w:r>
              <w:rPr>
                <w:sz w:val="18"/>
                <w:szCs w:val="18"/>
              </w:rPr>
              <w:t>3</w:t>
            </w:r>
            <w:r w:rsidRPr="0053410A">
              <w:rPr>
                <w:sz w:val="18"/>
                <w:szCs w:val="18"/>
              </w:rPr>
              <w:t>5.00%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auto"/>
            <w:noWrap/>
            <w:vAlign w:val="center"/>
            <w:hideMark/>
          </w:tcPr>
          <w:p w:rsidR="0022262B" w:rsidRDefault="0022262B" w:rsidP="0022262B">
            <w:pPr>
              <w:jc w:val="center"/>
              <w:rPr>
                <w:sz w:val="18"/>
                <w:szCs w:val="18"/>
              </w:rPr>
            </w:pPr>
            <w:r w:rsidRPr="0053410A">
              <w:rPr>
                <w:sz w:val="18"/>
                <w:szCs w:val="18"/>
              </w:rPr>
              <w:t>-60.00%</w:t>
            </w:r>
          </w:p>
        </w:tc>
        <w:tc>
          <w:tcPr>
            <w:tcW w:w="1428" w:type="dxa"/>
            <w:shd w:val="clear" w:color="auto" w:fill="auto"/>
            <w:noWrap/>
            <w:vAlign w:val="center"/>
            <w:hideMark/>
          </w:tcPr>
          <w:p w:rsidR="0022262B" w:rsidRPr="00667503" w:rsidRDefault="0022262B">
            <w:pPr>
              <w:jc w:val="center"/>
              <w:rPr>
                <w:sz w:val="18"/>
                <w:szCs w:val="18"/>
              </w:rPr>
            </w:pPr>
            <w:r w:rsidRPr="00667503">
              <w:rPr>
                <w:sz w:val="18"/>
                <w:szCs w:val="18"/>
              </w:rPr>
              <w:t>$</w:t>
            </w:r>
            <w:r>
              <w:rPr>
                <w:sz w:val="18"/>
                <w:szCs w:val="18"/>
              </w:rPr>
              <w:t>400</w:t>
            </w:r>
            <w:r w:rsidRPr="00667503">
              <w:rPr>
                <w:sz w:val="18"/>
                <w:szCs w:val="18"/>
              </w:rPr>
              <w:t>.00</w:t>
            </w:r>
          </w:p>
        </w:tc>
        <w:tc>
          <w:tcPr>
            <w:tcW w:w="1834" w:type="dxa"/>
            <w:vAlign w:val="center"/>
          </w:tcPr>
          <w:p w:rsidR="0022262B" w:rsidRPr="00667503" w:rsidRDefault="0022262B" w:rsidP="0022262B">
            <w:pPr>
              <w:jc w:val="center"/>
              <w:rPr>
                <w:sz w:val="18"/>
                <w:szCs w:val="18"/>
              </w:rPr>
            </w:pPr>
            <w:r w:rsidRPr="0053410A">
              <w:rPr>
                <w:sz w:val="18"/>
                <w:szCs w:val="18"/>
              </w:rPr>
              <w:t>-60.00%</w:t>
            </w:r>
          </w:p>
        </w:tc>
      </w:tr>
      <w:tr w:rsidR="0022262B" w:rsidTr="00C23812">
        <w:trPr>
          <w:trHeight w:val="111"/>
          <w:jc w:val="center"/>
        </w:trPr>
        <w:tc>
          <w:tcPr>
            <w:tcW w:w="1195" w:type="dxa"/>
            <w:shd w:val="clear" w:color="auto" w:fill="auto"/>
            <w:noWrap/>
            <w:vAlign w:val="center"/>
            <w:hideMark/>
          </w:tcPr>
          <w:p w:rsidR="0022262B" w:rsidRPr="00667503" w:rsidRDefault="0022262B" w:rsidP="0022262B">
            <w:pPr>
              <w:jc w:val="center"/>
              <w:rPr>
                <w:sz w:val="18"/>
                <w:szCs w:val="18"/>
              </w:rPr>
            </w:pPr>
            <w:r w:rsidRPr="00667503">
              <w:rPr>
                <w:sz w:val="18"/>
                <w:szCs w:val="18"/>
              </w:rPr>
              <w:t>40.00</w:t>
            </w:r>
          </w:p>
        </w:tc>
        <w:tc>
          <w:tcPr>
            <w:tcW w:w="1227" w:type="dxa"/>
            <w:shd w:val="clear" w:color="auto" w:fill="auto"/>
            <w:noWrap/>
            <w:vAlign w:val="center"/>
            <w:hideMark/>
          </w:tcPr>
          <w:p w:rsidR="0022262B" w:rsidRPr="00667503" w:rsidRDefault="0022262B" w:rsidP="0022262B">
            <w:pPr>
              <w:jc w:val="center"/>
              <w:rPr>
                <w:sz w:val="18"/>
                <w:szCs w:val="18"/>
              </w:rPr>
            </w:pPr>
            <w:r w:rsidRPr="00667503">
              <w:rPr>
                <w:sz w:val="18"/>
                <w:szCs w:val="18"/>
              </w:rPr>
              <w:t>30.00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auto"/>
            <w:vAlign w:val="center"/>
            <w:hideMark/>
          </w:tcPr>
          <w:p w:rsidR="0022262B" w:rsidRDefault="0022262B" w:rsidP="0022262B">
            <w:pPr>
              <w:jc w:val="center"/>
              <w:rPr>
                <w:sz w:val="18"/>
                <w:szCs w:val="18"/>
              </w:rPr>
            </w:pPr>
            <w:r w:rsidRPr="0053410A">
              <w:rPr>
                <w:sz w:val="18"/>
                <w:szCs w:val="18"/>
              </w:rPr>
              <w:t>-</w:t>
            </w:r>
            <w:r>
              <w:rPr>
                <w:sz w:val="18"/>
                <w:szCs w:val="18"/>
              </w:rPr>
              <w:t>6</w:t>
            </w:r>
            <w:r w:rsidRPr="0053410A">
              <w:rPr>
                <w:sz w:val="18"/>
                <w:szCs w:val="18"/>
              </w:rPr>
              <w:t>0.00%</w:t>
            </w:r>
          </w:p>
        </w:tc>
        <w:tc>
          <w:tcPr>
            <w:tcW w:w="1225" w:type="dxa"/>
            <w:shd w:val="clear" w:color="auto" w:fill="auto"/>
            <w:vAlign w:val="center"/>
            <w:hideMark/>
          </w:tcPr>
          <w:p w:rsidR="0022262B" w:rsidRDefault="0022262B" w:rsidP="0022262B">
            <w:pPr>
              <w:jc w:val="center"/>
              <w:rPr>
                <w:sz w:val="18"/>
                <w:szCs w:val="18"/>
              </w:rPr>
            </w:pPr>
            <w:r>
              <w:rPr>
                <w:sz w:val="18"/>
                <w:szCs w:val="18"/>
              </w:rPr>
              <w:t>-70</w:t>
            </w:r>
            <w:r w:rsidRPr="0053410A">
              <w:rPr>
                <w:sz w:val="18"/>
                <w:szCs w:val="18"/>
              </w:rPr>
              <w:t>.00%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auto"/>
            <w:noWrap/>
            <w:vAlign w:val="center"/>
            <w:hideMark/>
          </w:tcPr>
          <w:p w:rsidR="0022262B" w:rsidRDefault="0022262B" w:rsidP="0022262B">
            <w:pPr>
              <w:jc w:val="center"/>
              <w:rPr>
                <w:sz w:val="18"/>
                <w:szCs w:val="18"/>
              </w:rPr>
            </w:pPr>
            <w:r w:rsidRPr="0053410A">
              <w:rPr>
                <w:sz w:val="18"/>
                <w:szCs w:val="18"/>
              </w:rPr>
              <w:t>-70.00%</w:t>
            </w:r>
          </w:p>
        </w:tc>
        <w:tc>
          <w:tcPr>
            <w:tcW w:w="1428" w:type="dxa"/>
            <w:shd w:val="clear" w:color="auto" w:fill="auto"/>
            <w:noWrap/>
            <w:vAlign w:val="center"/>
            <w:hideMark/>
          </w:tcPr>
          <w:p w:rsidR="0022262B" w:rsidRPr="00667503" w:rsidRDefault="0022262B">
            <w:pPr>
              <w:jc w:val="center"/>
              <w:rPr>
                <w:sz w:val="18"/>
                <w:szCs w:val="18"/>
              </w:rPr>
            </w:pPr>
            <w:r w:rsidRPr="00667503">
              <w:rPr>
                <w:sz w:val="18"/>
                <w:szCs w:val="18"/>
              </w:rPr>
              <w:t>$</w:t>
            </w:r>
            <w:r>
              <w:rPr>
                <w:sz w:val="18"/>
                <w:szCs w:val="18"/>
              </w:rPr>
              <w:t>300</w:t>
            </w:r>
            <w:r w:rsidRPr="00667503">
              <w:rPr>
                <w:sz w:val="18"/>
                <w:szCs w:val="18"/>
              </w:rPr>
              <w:t>.00</w:t>
            </w:r>
          </w:p>
        </w:tc>
        <w:tc>
          <w:tcPr>
            <w:tcW w:w="1834" w:type="dxa"/>
            <w:vAlign w:val="center"/>
          </w:tcPr>
          <w:p w:rsidR="0022262B" w:rsidRPr="00667503" w:rsidRDefault="0022262B" w:rsidP="0022262B">
            <w:pPr>
              <w:jc w:val="center"/>
              <w:rPr>
                <w:sz w:val="18"/>
                <w:szCs w:val="18"/>
              </w:rPr>
            </w:pPr>
            <w:r w:rsidRPr="0053410A">
              <w:rPr>
                <w:sz w:val="18"/>
                <w:szCs w:val="18"/>
              </w:rPr>
              <w:t>-70.00%</w:t>
            </w:r>
          </w:p>
        </w:tc>
      </w:tr>
      <w:tr w:rsidR="0022262B" w:rsidTr="00C23812">
        <w:trPr>
          <w:trHeight w:val="175"/>
          <w:jc w:val="center"/>
        </w:trPr>
        <w:tc>
          <w:tcPr>
            <w:tcW w:w="1195" w:type="dxa"/>
            <w:shd w:val="clear" w:color="auto" w:fill="auto"/>
            <w:noWrap/>
            <w:vAlign w:val="center"/>
            <w:hideMark/>
          </w:tcPr>
          <w:p w:rsidR="0022262B" w:rsidRPr="00667503" w:rsidRDefault="0022262B" w:rsidP="0022262B">
            <w:pPr>
              <w:jc w:val="center"/>
              <w:rPr>
                <w:sz w:val="18"/>
                <w:szCs w:val="18"/>
              </w:rPr>
            </w:pPr>
            <w:r w:rsidRPr="00667503">
              <w:rPr>
                <w:sz w:val="18"/>
                <w:szCs w:val="18"/>
              </w:rPr>
              <w:t>40.00</w:t>
            </w:r>
          </w:p>
        </w:tc>
        <w:tc>
          <w:tcPr>
            <w:tcW w:w="1227" w:type="dxa"/>
            <w:shd w:val="clear" w:color="auto" w:fill="auto"/>
            <w:noWrap/>
            <w:vAlign w:val="center"/>
            <w:hideMark/>
          </w:tcPr>
          <w:p w:rsidR="0022262B" w:rsidRPr="00667503" w:rsidRDefault="0022262B" w:rsidP="0022262B">
            <w:pPr>
              <w:jc w:val="center"/>
              <w:rPr>
                <w:sz w:val="18"/>
                <w:szCs w:val="18"/>
              </w:rPr>
            </w:pPr>
            <w:r w:rsidRPr="00667503">
              <w:rPr>
                <w:sz w:val="18"/>
                <w:szCs w:val="18"/>
              </w:rPr>
              <w:t>20.00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auto"/>
            <w:vAlign w:val="center"/>
            <w:hideMark/>
          </w:tcPr>
          <w:p w:rsidR="0022262B" w:rsidRDefault="0022262B" w:rsidP="0022262B">
            <w:pPr>
              <w:jc w:val="center"/>
              <w:rPr>
                <w:sz w:val="18"/>
                <w:szCs w:val="18"/>
              </w:rPr>
            </w:pPr>
            <w:r w:rsidRPr="0053410A">
              <w:rPr>
                <w:sz w:val="18"/>
                <w:szCs w:val="18"/>
              </w:rPr>
              <w:t>-</w:t>
            </w:r>
            <w:r>
              <w:rPr>
                <w:sz w:val="18"/>
                <w:szCs w:val="18"/>
              </w:rPr>
              <w:t>60</w:t>
            </w:r>
            <w:r w:rsidRPr="0053410A">
              <w:rPr>
                <w:sz w:val="18"/>
                <w:szCs w:val="18"/>
              </w:rPr>
              <w:t>.00%</w:t>
            </w:r>
          </w:p>
        </w:tc>
        <w:tc>
          <w:tcPr>
            <w:tcW w:w="1225" w:type="dxa"/>
            <w:shd w:val="clear" w:color="auto" w:fill="auto"/>
            <w:vAlign w:val="center"/>
            <w:hideMark/>
          </w:tcPr>
          <w:p w:rsidR="0022262B" w:rsidRDefault="0022262B" w:rsidP="0022262B">
            <w:pPr>
              <w:jc w:val="center"/>
              <w:rPr>
                <w:sz w:val="18"/>
                <w:szCs w:val="18"/>
              </w:rPr>
            </w:pPr>
            <w:r>
              <w:rPr>
                <w:sz w:val="18"/>
                <w:szCs w:val="18"/>
              </w:rPr>
              <w:t>-80</w:t>
            </w:r>
            <w:r w:rsidRPr="0053410A">
              <w:rPr>
                <w:sz w:val="18"/>
                <w:szCs w:val="18"/>
              </w:rPr>
              <w:t>.00%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auto"/>
            <w:noWrap/>
            <w:vAlign w:val="center"/>
            <w:hideMark/>
          </w:tcPr>
          <w:p w:rsidR="0022262B" w:rsidRDefault="0022262B" w:rsidP="0022262B">
            <w:pPr>
              <w:jc w:val="center"/>
              <w:rPr>
                <w:sz w:val="18"/>
                <w:szCs w:val="18"/>
              </w:rPr>
            </w:pPr>
            <w:r w:rsidRPr="0053410A">
              <w:rPr>
                <w:sz w:val="18"/>
                <w:szCs w:val="18"/>
              </w:rPr>
              <w:t>-80.00%</w:t>
            </w:r>
          </w:p>
        </w:tc>
        <w:tc>
          <w:tcPr>
            <w:tcW w:w="1428" w:type="dxa"/>
            <w:shd w:val="clear" w:color="auto" w:fill="auto"/>
            <w:noWrap/>
            <w:vAlign w:val="center"/>
            <w:hideMark/>
          </w:tcPr>
          <w:p w:rsidR="0022262B" w:rsidRPr="00667503" w:rsidRDefault="0022262B">
            <w:pPr>
              <w:jc w:val="center"/>
              <w:rPr>
                <w:sz w:val="18"/>
                <w:szCs w:val="18"/>
              </w:rPr>
            </w:pPr>
            <w:r w:rsidRPr="00667503">
              <w:rPr>
                <w:sz w:val="18"/>
                <w:szCs w:val="18"/>
              </w:rPr>
              <w:t>$</w:t>
            </w:r>
            <w:r>
              <w:rPr>
                <w:sz w:val="18"/>
                <w:szCs w:val="18"/>
              </w:rPr>
              <w:t>200</w:t>
            </w:r>
            <w:r w:rsidRPr="00667503">
              <w:rPr>
                <w:sz w:val="18"/>
                <w:szCs w:val="18"/>
              </w:rPr>
              <w:t>.00</w:t>
            </w:r>
          </w:p>
        </w:tc>
        <w:tc>
          <w:tcPr>
            <w:tcW w:w="1834" w:type="dxa"/>
            <w:vAlign w:val="center"/>
          </w:tcPr>
          <w:p w:rsidR="0022262B" w:rsidRPr="00667503" w:rsidRDefault="0022262B" w:rsidP="0022262B">
            <w:pPr>
              <w:jc w:val="center"/>
              <w:rPr>
                <w:sz w:val="18"/>
                <w:szCs w:val="18"/>
              </w:rPr>
            </w:pPr>
            <w:r w:rsidRPr="0053410A">
              <w:rPr>
                <w:sz w:val="18"/>
                <w:szCs w:val="18"/>
              </w:rPr>
              <w:t>-80.00%</w:t>
            </w:r>
          </w:p>
        </w:tc>
      </w:tr>
      <w:tr w:rsidR="0022262B" w:rsidTr="00C23812">
        <w:trPr>
          <w:trHeight w:val="143"/>
          <w:jc w:val="center"/>
        </w:trPr>
        <w:tc>
          <w:tcPr>
            <w:tcW w:w="1195" w:type="dxa"/>
            <w:shd w:val="clear" w:color="auto" w:fill="auto"/>
            <w:noWrap/>
            <w:vAlign w:val="center"/>
            <w:hideMark/>
          </w:tcPr>
          <w:p w:rsidR="0022262B" w:rsidRPr="00667503" w:rsidRDefault="0022262B" w:rsidP="0022262B">
            <w:pPr>
              <w:jc w:val="center"/>
              <w:rPr>
                <w:sz w:val="18"/>
                <w:szCs w:val="18"/>
              </w:rPr>
            </w:pPr>
            <w:r w:rsidRPr="00667503">
              <w:rPr>
                <w:sz w:val="18"/>
                <w:szCs w:val="18"/>
              </w:rPr>
              <w:t>10.00</w:t>
            </w:r>
          </w:p>
        </w:tc>
        <w:tc>
          <w:tcPr>
            <w:tcW w:w="1227" w:type="dxa"/>
            <w:shd w:val="clear" w:color="auto" w:fill="auto"/>
            <w:noWrap/>
            <w:vAlign w:val="center"/>
            <w:hideMark/>
          </w:tcPr>
          <w:p w:rsidR="0022262B" w:rsidRPr="00667503" w:rsidRDefault="0022262B" w:rsidP="0022262B">
            <w:pPr>
              <w:jc w:val="center"/>
              <w:rPr>
                <w:sz w:val="18"/>
                <w:szCs w:val="18"/>
              </w:rPr>
            </w:pPr>
            <w:r w:rsidRPr="00667503">
              <w:rPr>
                <w:sz w:val="18"/>
                <w:szCs w:val="18"/>
              </w:rPr>
              <w:t>95.00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auto"/>
            <w:vAlign w:val="center"/>
            <w:hideMark/>
          </w:tcPr>
          <w:p w:rsidR="0022262B" w:rsidRDefault="0022262B" w:rsidP="0022262B">
            <w:pPr>
              <w:jc w:val="center"/>
              <w:rPr>
                <w:sz w:val="18"/>
                <w:szCs w:val="18"/>
              </w:rPr>
            </w:pPr>
            <w:r w:rsidRPr="0053410A">
              <w:rPr>
                <w:sz w:val="18"/>
                <w:szCs w:val="18"/>
              </w:rPr>
              <w:t>-90.00%</w:t>
            </w:r>
          </w:p>
        </w:tc>
        <w:tc>
          <w:tcPr>
            <w:tcW w:w="1225" w:type="dxa"/>
            <w:shd w:val="clear" w:color="auto" w:fill="auto"/>
            <w:vAlign w:val="center"/>
            <w:hideMark/>
          </w:tcPr>
          <w:p w:rsidR="0022262B" w:rsidRDefault="0022262B" w:rsidP="0022262B">
            <w:pPr>
              <w:jc w:val="center"/>
              <w:rPr>
                <w:sz w:val="18"/>
                <w:szCs w:val="18"/>
              </w:rPr>
            </w:pPr>
            <w:r>
              <w:rPr>
                <w:sz w:val="18"/>
                <w:szCs w:val="18"/>
              </w:rPr>
              <w:t>-5</w:t>
            </w:r>
            <w:r w:rsidRPr="0053410A">
              <w:rPr>
                <w:sz w:val="18"/>
                <w:szCs w:val="18"/>
              </w:rPr>
              <w:t>.00%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auto"/>
            <w:noWrap/>
            <w:vAlign w:val="center"/>
            <w:hideMark/>
          </w:tcPr>
          <w:p w:rsidR="0022262B" w:rsidRDefault="0022262B" w:rsidP="0022262B">
            <w:pPr>
              <w:jc w:val="center"/>
              <w:rPr>
                <w:sz w:val="18"/>
                <w:szCs w:val="18"/>
              </w:rPr>
            </w:pPr>
            <w:r w:rsidRPr="0053410A">
              <w:rPr>
                <w:sz w:val="18"/>
                <w:szCs w:val="18"/>
              </w:rPr>
              <w:t>-90.00%</w:t>
            </w:r>
          </w:p>
        </w:tc>
        <w:tc>
          <w:tcPr>
            <w:tcW w:w="1428" w:type="dxa"/>
            <w:shd w:val="clear" w:color="auto" w:fill="auto"/>
            <w:noWrap/>
            <w:vAlign w:val="center"/>
            <w:hideMark/>
          </w:tcPr>
          <w:p w:rsidR="0022262B" w:rsidRPr="00667503" w:rsidRDefault="0022262B">
            <w:pPr>
              <w:jc w:val="center"/>
              <w:rPr>
                <w:sz w:val="18"/>
                <w:szCs w:val="18"/>
              </w:rPr>
            </w:pPr>
            <w:r w:rsidRPr="00667503">
              <w:rPr>
                <w:sz w:val="18"/>
                <w:szCs w:val="18"/>
              </w:rPr>
              <w:t>$</w:t>
            </w:r>
            <w:r>
              <w:rPr>
                <w:sz w:val="18"/>
                <w:szCs w:val="18"/>
              </w:rPr>
              <w:t>100</w:t>
            </w:r>
            <w:r w:rsidRPr="00667503">
              <w:rPr>
                <w:sz w:val="18"/>
                <w:szCs w:val="18"/>
              </w:rPr>
              <w:t>.00</w:t>
            </w:r>
          </w:p>
        </w:tc>
        <w:tc>
          <w:tcPr>
            <w:tcW w:w="1834" w:type="dxa"/>
            <w:vAlign w:val="center"/>
          </w:tcPr>
          <w:p w:rsidR="0022262B" w:rsidRPr="00667503" w:rsidRDefault="0022262B" w:rsidP="0022262B">
            <w:pPr>
              <w:jc w:val="center"/>
              <w:rPr>
                <w:sz w:val="18"/>
                <w:szCs w:val="18"/>
              </w:rPr>
            </w:pPr>
            <w:r w:rsidRPr="0053410A">
              <w:rPr>
                <w:sz w:val="18"/>
                <w:szCs w:val="18"/>
              </w:rPr>
              <w:t>-90.00%</w:t>
            </w:r>
          </w:p>
        </w:tc>
      </w:tr>
      <w:tr w:rsidR="0022262B" w:rsidTr="00C23812">
        <w:trPr>
          <w:trHeight w:val="111"/>
          <w:jc w:val="center"/>
        </w:trPr>
        <w:tc>
          <w:tcPr>
            <w:tcW w:w="1195" w:type="dxa"/>
            <w:shd w:val="clear" w:color="auto" w:fill="auto"/>
            <w:noWrap/>
            <w:vAlign w:val="center"/>
            <w:hideMark/>
          </w:tcPr>
          <w:p w:rsidR="0022262B" w:rsidRPr="00667503" w:rsidRDefault="0022262B" w:rsidP="0022262B">
            <w:pPr>
              <w:jc w:val="center"/>
              <w:rPr>
                <w:sz w:val="18"/>
                <w:szCs w:val="18"/>
              </w:rPr>
            </w:pPr>
            <w:r w:rsidRPr="00667503">
              <w:rPr>
                <w:sz w:val="18"/>
                <w:szCs w:val="18"/>
              </w:rPr>
              <w:t>102.00</w:t>
            </w:r>
          </w:p>
        </w:tc>
        <w:tc>
          <w:tcPr>
            <w:tcW w:w="1227" w:type="dxa"/>
            <w:shd w:val="clear" w:color="auto" w:fill="auto"/>
            <w:noWrap/>
            <w:vAlign w:val="center"/>
            <w:hideMark/>
          </w:tcPr>
          <w:p w:rsidR="0022262B" w:rsidRPr="00667503" w:rsidRDefault="0022262B" w:rsidP="0022262B">
            <w:pPr>
              <w:jc w:val="center"/>
              <w:rPr>
                <w:sz w:val="18"/>
                <w:szCs w:val="18"/>
              </w:rPr>
            </w:pPr>
            <w:r w:rsidRPr="00667503">
              <w:rPr>
                <w:sz w:val="18"/>
                <w:szCs w:val="18"/>
              </w:rPr>
              <w:t>0.00</w:t>
            </w:r>
          </w:p>
        </w:tc>
        <w:tc>
          <w:tcPr>
            <w:tcW w:w="236" w:type="dxa"/>
            <w:shd w:val="clear" w:color="auto" w:fill="FFFFFF" w:themeFill="background1"/>
            <w:vAlign w:val="center"/>
          </w:tcPr>
          <w:p w:rsidR="0022262B" w:rsidRDefault="0022262B" w:rsidP="0022262B">
            <w:pPr>
              <w:jc w:val="center"/>
              <w:rPr>
                <w:sz w:val="18"/>
                <w:szCs w:val="18"/>
              </w:rPr>
            </w:pPr>
          </w:p>
        </w:tc>
        <w:tc>
          <w:tcPr>
            <w:tcW w:w="1134" w:type="dxa"/>
            <w:shd w:val="clear" w:color="auto" w:fill="auto"/>
            <w:vAlign w:val="center"/>
            <w:hideMark/>
          </w:tcPr>
          <w:p w:rsidR="0022262B" w:rsidRDefault="0022262B" w:rsidP="0022262B">
            <w:pPr>
              <w:jc w:val="center"/>
              <w:rPr>
                <w:b/>
                <w:sz w:val="18"/>
                <w:szCs w:val="18"/>
              </w:rPr>
            </w:pPr>
            <w:r>
              <w:rPr>
                <w:sz w:val="18"/>
                <w:szCs w:val="18"/>
              </w:rPr>
              <w:t>2</w:t>
            </w:r>
            <w:r w:rsidRPr="0053410A">
              <w:rPr>
                <w:sz w:val="18"/>
                <w:szCs w:val="18"/>
              </w:rPr>
              <w:t>.00%</w:t>
            </w:r>
          </w:p>
        </w:tc>
        <w:tc>
          <w:tcPr>
            <w:tcW w:w="1225" w:type="dxa"/>
            <w:shd w:val="clear" w:color="auto" w:fill="auto"/>
            <w:vAlign w:val="center"/>
            <w:hideMark/>
          </w:tcPr>
          <w:p w:rsidR="0022262B" w:rsidRDefault="0022262B" w:rsidP="0022262B">
            <w:pPr>
              <w:jc w:val="center"/>
              <w:rPr>
                <w:sz w:val="18"/>
                <w:szCs w:val="18"/>
              </w:rPr>
            </w:pPr>
            <w:r>
              <w:rPr>
                <w:sz w:val="18"/>
                <w:szCs w:val="18"/>
              </w:rPr>
              <w:t>-100</w:t>
            </w:r>
            <w:r w:rsidRPr="0053410A">
              <w:rPr>
                <w:sz w:val="18"/>
                <w:szCs w:val="18"/>
              </w:rPr>
              <w:t>.00%</w:t>
            </w:r>
          </w:p>
        </w:tc>
        <w:tc>
          <w:tcPr>
            <w:tcW w:w="236" w:type="dxa"/>
            <w:shd w:val="clear" w:color="auto" w:fill="FFFFFF" w:themeFill="background1"/>
            <w:vAlign w:val="center"/>
          </w:tcPr>
          <w:p w:rsidR="0022262B" w:rsidRDefault="0022262B" w:rsidP="0022262B">
            <w:pPr>
              <w:jc w:val="center"/>
              <w:rPr>
                <w:sz w:val="18"/>
                <w:szCs w:val="18"/>
              </w:rPr>
            </w:pPr>
          </w:p>
        </w:tc>
        <w:tc>
          <w:tcPr>
            <w:tcW w:w="2149" w:type="dxa"/>
            <w:shd w:val="clear" w:color="auto" w:fill="auto"/>
            <w:noWrap/>
            <w:vAlign w:val="center"/>
            <w:hideMark/>
          </w:tcPr>
          <w:p w:rsidR="0022262B" w:rsidRDefault="0022262B" w:rsidP="0022262B">
            <w:pPr>
              <w:jc w:val="center"/>
              <w:rPr>
                <w:sz w:val="18"/>
                <w:szCs w:val="18"/>
              </w:rPr>
            </w:pPr>
            <w:r w:rsidRPr="0053410A">
              <w:rPr>
                <w:sz w:val="18"/>
                <w:szCs w:val="18"/>
              </w:rPr>
              <w:t>-100.00%</w:t>
            </w:r>
          </w:p>
        </w:tc>
        <w:tc>
          <w:tcPr>
            <w:tcW w:w="1428" w:type="dxa"/>
            <w:shd w:val="clear" w:color="auto" w:fill="auto"/>
            <w:noWrap/>
            <w:vAlign w:val="center"/>
            <w:hideMark/>
          </w:tcPr>
          <w:p w:rsidR="0022262B" w:rsidRPr="00667503" w:rsidRDefault="0022262B" w:rsidP="0022262B">
            <w:pPr>
              <w:jc w:val="center"/>
              <w:rPr>
                <w:sz w:val="18"/>
                <w:szCs w:val="18"/>
              </w:rPr>
            </w:pPr>
            <w:r w:rsidRPr="00667503">
              <w:rPr>
                <w:sz w:val="18"/>
                <w:szCs w:val="18"/>
              </w:rPr>
              <w:t>$</w:t>
            </w:r>
            <w:r>
              <w:rPr>
                <w:sz w:val="18"/>
                <w:szCs w:val="18"/>
              </w:rPr>
              <w:t>0</w:t>
            </w:r>
            <w:r w:rsidRPr="00667503">
              <w:rPr>
                <w:sz w:val="18"/>
                <w:szCs w:val="18"/>
              </w:rPr>
              <w:t>.00</w:t>
            </w:r>
          </w:p>
        </w:tc>
        <w:tc>
          <w:tcPr>
            <w:tcW w:w="1834" w:type="dxa"/>
            <w:vAlign w:val="center"/>
          </w:tcPr>
          <w:p w:rsidR="0022262B" w:rsidRPr="00667503" w:rsidRDefault="0022262B" w:rsidP="0022262B">
            <w:pPr>
              <w:jc w:val="center"/>
              <w:rPr>
                <w:sz w:val="18"/>
                <w:szCs w:val="18"/>
              </w:rPr>
            </w:pPr>
            <w:r w:rsidRPr="0053410A">
              <w:rPr>
                <w:sz w:val="18"/>
                <w:szCs w:val="18"/>
              </w:rPr>
              <w:t>-100.00%</w:t>
            </w:r>
          </w:p>
        </w:tc>
      </w:tr>
    </w:tbl>
    <w:p w:rsidR="00C32B87" w:rsidRPr="00E6789B" w:rsidRDefault="00FA4491" w:rsidP="0010195C">
      <w:pPr>
        <w:pStyle w:val="HeadingB"/>
        <w:spacing w:before="60"/>
        <w:ind w:left="1296" w:hanging="288"/>
        <w:rPr>
          <w:b w:val="0"/>
          <w:sz w:val="18"/>
          <w:szCs w:val="18"/>
        </w:rPr>
      </w:pPr>
      <w:r w:rsidRPr="00E6789B">
        <w:rPr>
          <w:b w:val="0"/>
          <w:sz w:val="18"/>
          <w:szCs w:val="18"/>
        </w:rPr>
        <w:t>**</w:t>
      </w:r>
      <w:r w:rsidR="00C23812">
        <w:rPr>
          <w:b w:val="0"/>
          <w:sz w:val="18"/>
          <w:szCs w:val="18"/>
        </w:rPr>
        <w:t xml:space="preserve"> </w:t>
      </w:r>
      <w:r w:rsidR="00C23812">
        <w:rPr>
          <w:b w:val="0"/>
          <w:sz w:val="18"/>
          <w:szCs w:val="18"/>
        </w:rPr>
        <w:tab/>
      </w:r>
      <w:r w:rsidR="00D352D0">
        <w:rPr>
          <w:b w:val="0"/>
          <w:sz w:val="18"/>
          <w:szCs w:val="18"/>
        </w:rPr>
        <w:t>p</w:t>
      </w:r>
      <w:r w:rsidR="00D352D0" w:rsidRPr="00E6789B">
        <w:rPr>
          <w:b w:val="0"/>
          <w:sz w:val="18"/>
          <w:szCs w:val="18"/>
        </w:rPr>
        <w:t xml:space="preserve">er </w:t>
      </w:r>
      <w:r w:rsidRPr="00E6789B">
        <w:rPr>
          <w:b w:val="0"/>
          <w:sz w:val="18"/>
          <w:szCs w:val="18"/>
        </w:rPr>
        <w:t>$1,000 principal amount Note</w:t>
      </w:r>
    </w:p>
    <w:p w:rsidR="008678CA" w:rsidRDefault="000A7489" w:rsidP="0010195C">
      <w:pPr>
        <w:pStyle w:val="BodyText1"/>
        <w:rPr>
          <w:szCs w:val="20"/>
        </w:rPr>
      </w:pPr>
      <w:r>
        <w:rPr>
          <w:szCs w:val="20"/>
        </w:rPr>
        <w:t xml:space="preserve">The following examples illustrate how the </w:t>
      </w:r>
      <w:r w:rsidR="003B1817">
        <w:rPr>
          <w:szCs w:val="20"/>
        </w:rPr>
        <w:t>payments at maturity</w:t>
      </w:r>
      <w:r>
        <w:rPr>
          <w:szCs w:val="20"/>
        </w:rPr>
        <w:t xml:space="preserve"> set forth in the table above are calculated</w:t>
      </w:r>
      <w:r w:rsidR="00E6789B">
        <w:rPr>
          <w:szCs w:val="20"/>
        </w:rPr>
        <w:t>:</w:t>
      </w:r>
    </w:p>
    <w:p w:rsidR="00354C5D" w:rsidRDefault="00354C5D" w:rsidP="0010195C">
      <w:pPr>
        <w:spacing w:before="120" w:after="120"/>
        <w:rPr>
          <w:b/>
          <w:szCs w:val="20"/>
        </w:rPr>
      </w:pPr>
      <w:r w:rsidRPr="00EF40FD">
        <w:rPr>
          <w:b/>
        </w:rPr>
        <w:t>Example 1</w:t>
      </w:r>
      <w:r w:rsidRPr="00C23812">
        <w:t>:</w:t>
      </w:r>
      <w:r w:rsidRPr="00EF40FD">
        <w:rPr>
          <w:b/>
        </w:rPr>
        <w:t xml:space="preserve"> </w:t>
      </w:r>
      <w:r w:rsidRPr="00EF40FD">
        <w:rPr>
          <w:b/>
          <w:szCs w:val="20"/>
        </w:rPr>
        <w:t xml:space="preserve">The </w:t>
      </w:r>
      <w:r w:rsidR="00C96E60">
        <w:rPr>
          <w:b/>
          <w:szCs w:val="20"/>
        </w:rPr>
        <w:t xml:space="preserve">Final </w:t>
      </w:r>
      <w:r w:rsidR="00B9325C">
        <w:rPr>
          <w:b/>
          <w:szCs w:val="20"/>
        </w:rPr>
        <w:t>Value</w:t>
      </w:r>
      <w:r w:rsidR="00C96E60" w:rsidRPr="00EF40FD">
        <w:rPr>
          <w:b/>
          <w:szCs w:val="20"/>
        </w:rPr>
        <w:t xml:space="preserve"> </w:t>
      </w:r>
      <w:r w:rsidRPr="00EF40FD">
        <w:rPr>
          <w:b/>
          <w:szCs w:val="20"/>
        </w:rPr>
        <w:t xml:space="preserve">of the </w:t>
      </w:r>
      <w:r w:rsidR="00E40B31">
        <w:rPr>
          <w:b/>
          <w:bCs/>
          <w:szCs w:val="20"/>
        </w:rPr>
        <w:t>EEM Fund</w:t>
      </w:r>
      <w:r w:rsidR="00C96E60">
        <w:rPr>
          <w:b/>
          <w:szCs w:val="20"/>
        </w:rPr>
        <w:t xml:space="preserve"> is </w:t>
      </w:r>
      <w:r w:rsidR="00667503">
        <w:rPr>
          <w:b/>
          <w:szCs w:val="20"/>
        </w:rPr>
        <w:t>140</w:t>
      </w:r>
      <w:r w:rsidR="00667503" w:rsidRPr="00C23812">
        <w:rPr>
          <w:szCs w:val="20"/>
        </w:rPr>
        <w:t>.</w:t>
      </w:r>
      <w:r w:rsidR="00667503">
        <w:rPr>
          <w:b/>
          <w:szCs w:val="20"/>
        </w:rPr>
        <w:t xml:space="preserve">00 and the Final </w:t>
      </w:r>
      <w:r w:rsidR="00B9325C">
        <w:rPr>
          <w:b/>
          <w:szCs w:val="20"/>
        </w:rPr>
        <w:t>Value</w:t>
      </w:r>
      <w:r w:rsidR="00667503">
        <w:rPr>
          <w:b/>
          <w:szCs w:val="20"/>
        </w:rPr>
        <w:t xml:space="preserve"> of the </w:t>
      </w:r>
      <w:r w:rsidR="00E40B31">
        <w:rPr>
          <w:b/>
          <w:bCs/>
          <w:szCs w:val="20"/>
        </w:rPr>
        <w:t>EFA Fund</w:t>
      </w:r>
      <w:r w:rsidR="00667503">
        <w:rPr>
          <w:b/>
          <w:szCs w:val="20"/>
        </w:rPr>
        <w:t xml:space="preserve"> is 110</w:t>
      </w:r>
      <w:r w:rsidR="00667503" w:rsidRPr="00C23812">
        <w:rPr>
          <w:szCs w:val="20"/>
        </w:rPr>
        <w:t>.</w:t>
      </w:r>
      <w:r w:rsidR="00667503">
        <w:rPr>
          <w:b/>
          <w:szCs w:val="20"/>
        </w:rPr>
        <w:t>00</w:t>
      </w:r>
      <w:r w:rsidR="00C23812" w:rsidRPr="00C23812">
        <w:rPr>
          <w:szCs w:val="20"/>
        </w:rPr>
        <w:t>.</w:t>
      </w:r>
    </w:p>
    <w:p w:rsidR="002563A8" w:rsidRDefault="00354C5D">
      <w:pPr>
        <w:spacing w:after="40"/>
        <w:jc w:val="both"/>
        <w:rPr>
          <w:rFonts w:ascii="Arial" w:hAnsi="Arial" w:cs="Arial"/>
          <w:szCs w:val="20"/>
        </w:rPr>
      </w:pPr>
      <w:r>
        <w:rPr>
          <w:szCs w:val="20"/>
        </w:rPr>
        <w:t xml:space="preserve">Because the </w:t>
      </w:r>
      <w:r w:rsidR="00E40B31">
        <w:rPr>
          <w:szCs w:val="20"/>
        </w:rPr>
        <w:t>EFA Fund</w:t>
      </w:r>
      <w:r w:rsidR="00C96E60">
        <w:rPr>
          <w:szCs w:val="20"/>
        </w:rPr>
        <w:t xml:space="preserve"> has the lowe</w:t>
      </w:r>
      <w:r w:rsidR="00D11B45">
        <w:rPr>
          <w:szCs w:val="20"/>
        </w:rPr>
        <w:t>st</w:t>
      </w:r>
      <w:r w:rsidR="00C96E60">
        <w:rPr>
          <w:szCs w:val="20"/>
        </w:rPr>
        <w:t xml:space="preserve"> </w:t>
      </w:r>
      <w:r w:rsidR="005360DA">
        <w:rPr>
          <w:szCs w:val="20"/>
        </w:rPr>
        <w:t>Reference Asset Return</w:t>
      </w:r>
      <w:r w:rsidR="00C96E60">
        <w:rPr>
          <w:szCs w:val="20"/>
        </w:rPr>
        <w:t xml:space="preserve">, the </w:t>
      </w:r>
      <w:r w:rsidR="00E40B31">
        <w:rPr>
          <w:szCs w:val="20"/>
        </w:rPr>
        <w:t>EFA Fund</w:t>
      </w:r>
      <w:r w:rsidR="000A165A">
        <w:rPr>
          <w:szCs w:val="20"/>
        </w:rPr>
        <w:t xml:space="preserve"> </w:t>
      </w:r>
      <w:r w:rsidR="00C96E60">
        <w:rPr>
          <w:szCs w:val="20"/>
        </w:rPr>
        <w:t xml:space="preserve">is the </w:t>
      </w:r>
      <w:r w:rsidR="005360DA">
        <w:rPr>
          <w:szCs w:val="20"/>
        </w:rPr>
        <w:t>Least Performing Reference Asset</w:t>
      </w:r>
      <w:r w:rsidR="00C96E60">
        <w:rPr>
          <w:szCs w:val="20"/>
        </w:rPr>
        <w:t xml:space="preserve">. </w:t>
      </w:r>
      <w:r w:rsidR="00BB0F96">
        <w:rPr>
          <w:szCs w:val="20"/>
        </w:rPr>
        <w:t xml:space="preserve">Because the </w:t>
      </w:r>
      <w:r w:rsidR="00C328DE">
        <w:rPr>
          <w:szCs w:val="20"/>
        </w:rPr>
        <w:t>Final Value</w:t>
      </w:r>
      <w:r w:rsidR="00BB0F96" w:rsidRPr="00BB0F96">
        <w:rPr>
          <w:szCs w:val="20"/>
        </w:rPr>
        <w:t xml:space="preserve"> of the Least Performing Reference Asset is greater than </w:t>
      </w:r>
      <w:r w:rsidR="00C328DE">
        <w:rPr>
          <w:szCs w:val="20"/>
        </w:rPr>
        <w:t>or equal to its Initial Value</w:t>
      </w:r>
      <w:r w:rsidR="00BB0F96" w:rsidRPr="00BB0F96">
        <w:rPr>
          <w:szCs w:val="20"/>
        </w:rPr>
        <w:t xml:space="preserve">, </w:t>
      </w:r>
      <w:r>
        <w:rPr>
          <w:szCs w:val="20"/>
        </w:rPr>
        <w:t>you will</w:t>
      </w:r>
      <w:r w:rsidRPr="00EF40FD">
        <w:rPr>
          <w:szCs w:val="20"/>
        </w:rPr>
        <w:t xml:space="preserve"> receive a payment at maturity of $</w:t>
      </w:r>
      <w:r w:rsidR="00BF6D3E" w:rsidRPr="00EC5A2B">
        <w:t>1</w:t>
      </w:r>
      <w:r w:rsidR="00BF6D3E" w:rsidRPr="00EF40FD">
        <w:rPr>
          <w:szCs w:val="20"/>
        </w:rPr>
        <w:t>,</w:t>
      </w:r>
      <w:r w:rsidR="007C5E04">
        <w:rPr>
          <w:szCs w:val="20"/>
        </w:rPr>
        <w:t>260</w:t>
      </w:r>
      <w:r w:rsidR="002B55D0">
        <w:rPr>
          <w:szCs w:val="20"/>
        </w:rPr>
        <w:t>.</w:t>
      </w:r>
      <w:r w:rsidR="00C26312">
        <w:rPr>
          <w:szCs w:val="20"/>
        </w:rPr>
        <w:t xml:space="preserve">00 </w:t>
      </w:r>
      <w:r w:rsidRPr="00EF40FD">
        <w:rPr>
          <w:szCs w:val="20"/>
        </w:rPr>
        <w:t xml:space="preserve">per $1,000 principal amount Note </w:t>
      </w:r>
      <w:r>
        <w:rPr>
          <w:szCs w:val="20"/>
        </w:rPr>
        <w:t xml:space="preserve">that you hold, </w:t>
      </w:r>
      <w:r w:rsidRPr="00EF40FD">
        <w:rPr>
          <w:szCs w:val="20"/>
        </w:rPr>
        <w:t>calculated as follows:</w:t>
      </w:r>
    </w:p>
    <w:p w:rsidR="002563A8" w:rsidRDefault="00354C5D" w:rsidP="0010195C">
      <w:pPr>
        <w:pStyle w:val="BodyText2"/>
        <w:spacing w:before="120" w:after="0"/>
        <w:jc w:val="center"/>
      </w:pPr>
      <w:r>
        <w:t>$1,000 + [$1,000</w:t>
      </w:r>
      <w:r w:rsidR="00C57037">
        <w:t xml:space="preserve"> × </w:t>
      </w:r>
      <w:r w:rsidR="005360DA">
        <w:t>Reference Asset Return</w:t>
      </w:r>
      <w:r w:rsidR="00EF2655">
        <w:t xml:space="preserve"> of </w:t>
      </w:r>
      <w:r w:rsidR="00D352D0">
        <w:t xml:space="preserve">the </w:t>
      </w:r>
      <w:r w:rsidR="005360DA">
        <w:t>Least Performing Reference Asset</w:t>
      </w:r>
      <w:r w:rsidR="00C57037">
        <w:t xml:space="preserve"> × </w:t>
      </w:r>
      <w:r w:rsidR="006D1E44">
        <w:t>Upside Leverage Factor</w:t>
      </w:r>
      <w:r>
        <w:t>]</w:t>
      </w:r>
    </w:p>
    <w:p w:rsidR="002563A8" w:rsidRPr="000E19CA" w:rsidRDefault="00354C5D" w:rsidP="0010195C">
      <w:pPr>
        <w:pStyle w:val="BodyText2"/>
        <w:jc w:val="center"/>
        <w:rPr>
          <w:szCs w:val="20"/>
        </w:rPr>
      </w:pPr>
      <w:r w:rsidRPr="00EF40FD">
        <w:t>$1,</w:t>
      </w:r>
      <w:r w:rsidRPr="00EF40FD">
        <w:rPr>
          <w:szCs w:val="20"/>
        </w:rPr>
        <w:t>000 + [$1,</w:t>
      </w:r>
      <w:r w:rsidRPr="00EC5A2B">
        <w:t>00</w:t>
      </w:r>
      <w:r w:rsidR="00CD2919">
        <w:t>0</w:t>
      </w:r>
      <w:r w:rsidR="00C57037">
        <w:t xml:space="preserve"> × </w:t>
      </w:r>
      <w:r w:rsidR="009A7576">
        <w:t>10</w:t>
      </w:r>
      <w:r w:rsidR="0084036C">
        <w:t>.00%</w:t>
      </w:r>
      <w:r w:rsidR="00C57037">
        <w:t xml:space="preserve"> × </w:t>
      </w:r>
      <w:r w:rsidR="007C5E04">
        <w:t>2.60</w:t>
      </w:r>
      <w:r w:rsidR="00EF2655">
        <w:t xml:space="preserve">] </w:t>
      </w:r>
      <w:r w:rsidR="00CD2919">
        <w:t>= $</w:t>
      </w:r>
      <w:r w:rsidR="00BF6D3E" w:rsidRPr="00EC5A2B">
        <w:t>1</w:t>
      </w:r>
      <w:r w:rsidR="00BF6D3E" w:rsidRPr="00EF40FD">
        <w:rPr>
          <w:szCs w:val="20"/>
        </w:rPr>
        <w:t>,</w:t>
      </w:r>
      <w:r w:rsidR="007C5E04">
        <w:rPr>
          <w:szCs w:val="20"/>
        </w:rPr>
        <w:t>260</w:t>
      </w:r>
      <w:r w:rsidR="002B55D0">
        <w:rPr>
          <w:szCs w:val="20"/>
        </w:rPr>
        <w:t>.00</w:t>
      </w:r>
    </w:p>
    <w:p w:rsidR="00354C5D" w:rsidRPr="002473A6" w:rsidRDefault="00CD2919" w:rsidP="00354C5D">
      <w:pPr>
        <w:pStyle w:val="BodyText2"/>
      </w:pPr>
      <w:r>
        <w:t xml:space="preserve">The total return on </w:t>
      </w:r>
      <w:r>
        <w:rPr>
          <w:szCs w:val="20"/>
        </w:rPr>
        <w:t xml:space="preserve">investment of the Notes is </w:t>
      </w:r>
      <w:r w:rsidR="007C5E04">
        <w:rPr>
          <w:szCs w:val="20"/>
        </w:rPr>
        <w:t>26.00</w:t>
      </w:r>
      <w:r>
        <w:rPr>
          <w:szCs w:val="20"/>
        </w:rPr>
        <w:t>%.</w:t>
      </w:r>
    </w:p>
    <w:p w:rsidR="00123239" w:rsidRDefault="00123239" w:rsidP="0010195C">
      <w:pPr>
        <w:spacing w:before="120" w:after="120"/>
        <w:rPr>
          <w:color w:val="000000"/>
          <w:szCs w:val="20"/>
        </w:rPr>
      </w:pPr>
      <w:r w:rsidRPr="00FE696B">
        <w:rPr>
          <w:b/>
        </w:rPr>
        <w:t>Example</w:t>
      </w:r>
      <w:r>
        <w:rPr>
          <w:b/>
        </w:rPr>
        <w:t xml:space="preserve"> </w:t>
      </w:r>
      <w:r w:rsidR="004B11C0">
        <w:rPr>
          <w:b/>
        </w:rPr>
        <w:t>2</w:t>
      </w:r>
      <w:r w:rsidRPr="00C23812">
        <w:t>:</w:t>
      </w:r>
      <w:r w:rsidRPr="00FE696B">
        <w:rPr>
          <w:b/>
        </w:rPr>
        <w:t xml:space="preserve"> The </w:t>
      </w:r>
      <w:r>
        <w:rPr>
          <w:b/>
        </w:rPr>
        <w:t xml:space="preserve">Final </w:t>
      </w:r>
      <w:r w:rsidR="00B9325C">
        <w:rPr>
          <w:b/>
        </w:rPr>
        <w:t>Value</w:t>
      </w:r>
      <w:r w:rsidRPr="00FE696B">
        <w:rPr>
          <w:b/>
        </w:rPr>
        <w:t xml:space="preserve"> </w:t>
      </w:r>
      <w:r w:rsidRPr="00FE696B">
        <w:rPr>
          <w:b/>
          <w:color w:val="000000"/>
        </w:rPr>
        <w:t xml:space="preserve">of </w:t>
      </w:r>
      <w:r w:rsidRPr="00FE696B">
        <w:rPr>
          <w:b/>
          <w:color w:val="000000"/>
          <w:szCs w:val="20"/>
        </w:rPr>
        <w:t xml:space="preserve">the </w:t>
      </w:r>
      <w:r w:rsidR="00E40B31">
        <w:rPr>
          <w:b/>
          <w:bCs/>
          <w:szCs w:val="20"/>
        </w:rPr>
        <w:t>EEM Fund</w:t>
      </w:r>
      <w:r w:rsidR="00F02678">
        <w:rPr>
          <w:b/>
          <w:szCs w:val="20"/>
        </w:rPr>
        <w:t xml:space="preserve"> </w:t>
      </w:r>
      <w:r>
        <w:rPr>
          <w:b/>
          <w:color w:val="000000"/>
          <w:szCs w:val="20"/>
        </w:rPr>
        <w:t xml:space="preserve">is </w:t>
      </w:r>
      <w:r w:rsidR="00F02678">
        <w:rPr>
          <w:b/>
          <w:color w:val="000000"/>
          <w:szCs w:val="20"/>
        </w:rPr>
        <w:t>90</w:t>
      </w:r>
      <w:r w:rsidR="00720D30" w:rsidRPr="00C23812">
        <w:rPr>
          <w:color w:val="000000"/>
          <w:szCs w:val="20"/>
        </w:rPr>
        <w:t>.</w:t>
      </w:r>
      <w:r w:rsidR="00720D30">
        <w:rPr>
          <w:b/>
          <w:color w:val="000000"/>
          <w:szCs w:val="20"/>
        </w:rPr>
        <w:t>00</w:t>
      </w:r>
      <w:r>
        <w:rPr>
          <w:b/>
          <w:color w:val="000000"/>
          <w:szCs w:val="20"/>
        </w:rPr>
        <w:t xml:space="preserve"> and the </w:t>
      </w:r>
      <w:r w:rsidRPr="00FE696B">
        <w:rPr>
          <w:b/>
          <w:szCs w:val="20"/>
        </w:rPr>
        <w:t xml:space="preserve">Final </w:t>
      </w:r>
      <w:r w:rsidR="00B9325C">
        <w:rPr>
          <w:b/>
        </w:rPr>
        <w:t>Value</w:t>
      </w:r>
      <w:r w:rsidRPr="00D5359A">
        <w:rPr>
          <w:b/>
        </w:rPr>
        <w:t xml:space="preserve"> of</w:t>
      </w:r>
      <w:r>
        <w:rPr>
          <w:b/>
        </w:rPr>
        <w:t xml:space="preserve"> the </w:t>
      </w:r>
      <w:r w:rsidR="00E40B31">
        <w:rPr>
          <w:b/>
          <w:bCs/>
          <w:szCs w:val="20"/>
        </w:rPr>
        <w:t>EFA Fund</w:t>
      </w:r>
      <w:r w:rsidR="00F02678">
        <w:rPr>
          <w:b/>
          <w:szCs w:val="20"/>
        </w:rPr>
        <w:t xml:space="preserve"> </w:t>
      </w:r>
      <w:r>
        <w:rPr>
          <w:b/>
        </w:rPr>
        <w:t>is</w:t>
      </w:r>
      <w:r w:rsidRPr="00D5359A">
        <w:rPr>
          <w:b/>
        </w:rPr>
        <w:t xml:space="preserve"> </w:t>
      </w:r>
      <w:r w:rsidR="00F02678">
        <w:rPr>
          <w:b/>
        </w:rPr>
        <w:t>102.50</w:t>
      </w:r>
      <w:r w:rsidRPr="00C23812">
        <w:t>.</w:t>
      </w:r>
    </w:p>
    <w:p w:rsidR="00123239" w:rsidRDefault="00123239" w:rsidP="00123239">
      <w:pPr>
        <w:pStyle w:val="BodyText2"/>
        <w:spacing w:after="60"/>
        <w:jc w:val="both"/>
      </w:pPr>
      <w:r w:rsidRPr="00FE696B">
        <w:t xml:space="preserve">Because the </w:t>
      </w:r>
      <w:r w:rsidR="00E40B31">
        <w:t>EEM Fund</w:t>
      </w:r>
      <w:r>
        <w:t xml:space="preserve"> has the lowe</w:t>
      </w:r>
      <w:r w:rsidR="00D11B45">
        <w:t>st</w:t>
      </w:r>
      <w:r>
        <w:t xml:space="preserve"> </w:t>
      </w:r>
      <w:r w:rsidR="005360DA">
        <w:t>Reference Asset Return</w:t>
      </w:r>
      <w:r>
        <w:t xml:space="preserve">, the </w:t>
      </w:r>
      <w:r w:rsidR="00E40B31">
        <w:t>EEM Fund</w:t>
      </w:r>
      <w:r w:rsidR="00F02678">
        <w:t xml:space="preserve"> </w:t>
      </w:r>
      <w:r>
        <w:t xml:space="preserve">is the </w:t>
      </w:r>
      <w:r w:rsidR="005360DA">
        <w:t>Least Performing Reference Asset</w:t>
      </w:r>
      <w:r>
        <w:t xml:space="preserve">. </w:t>
      </w:r>
      <w:r w:rsidR="00720D30">
        <w:rPr>
          <w:szCs w:val="20"/>
        </w:rPr>
        <w:t xml:space="preserve">Because the </w:t>
      </w:r>
      <w:r w:rsidR="00366266">
        <w:rPr>
          <w:szCs w:val="20"/>
        </w:rPr>
        <w:t>Final Value</w:t>
      </w:r>
      <w:r w:rsidR="00720D30">
        <w:rPr>
          <w:szCs w:val="20"/>
        </w:rPr>
        <w:t xml:space="preserve"> of the </w:t>
      </w:r>
      <w:r w:rsidR="005360DA">
        <w:rPr>
          <w:szCs w:val="20"/>
        </w:rPr>
        <w:t>Least Performing Reference Asset</w:t>
      </w:r>
      <w:r w:rsidR="00720D30">
        <w:rPr>
          <w:szCs w:val="20"/>
        </w:rPr>
        <w:t xml:space="preserve"> </w:t>
      </w:r>
      <w:r w:rsidR="0008696C" w:rsidRPr="0008696C">
        <w:rPr>
          <w:szCs w:val="20"/>
        </w:rPr>
        <w:t xml:space="preserve">is less than </w:t>
      </w:r>
      <w:r w:rsidR="00366266">
        <w:rPr>
          <w:szCs w:val="20"/>
        </w:rPr>
        <w:t>its Initial Value,</w:t>
      </w:r>
      <w:r w:rsidR="0008696C" w:rsidRPr="0008696C">
        <w:rPr>
          <w:szCs w:val="20"/>
        </w:rPr>
        <w:t xml:space="preserve"> but greater than or equal to </w:t>
      </w:r>
      <w:r w:rsidR="00366266">
        <w:rPr>
          <w:szCs w:val="20"/>
        </w:rPr>
        <w:t xml:space="preserve">its </w:t>
      </w:r>
      <w:r w:rsidR="0022262B">
        <w:rPr>
          <w:szCs w:val="20"/>
        </w:rPr>
        <w:t xml:space="preserve">Barrier </w:t>
      </w:r>
      <w:r w:rsidR="00366266">
        <w:rPr>
          <w:szCs w:val="20"/>
        </w:rPr>
        <w:t>Value</w:t>
      </w:r>
      <w:r w:rsidR="0008696C">
        <w:rPr>
          <w:szCs w:val="20"/>
        </w:rPr>
        <w:t xml:space="preserve">, </w:t>
      </w:r>
      <w:r w:rsidR="00720D30">
        <w:rPr>
          <w:szCs w:val="20"/>
        </w:rPr>
        <w:t>you will receive</w:t>
      </w:r>
      <w:r w:rsidR="00720D30" w:rsidRPr="00EF40FD">
        <w:rPr>
          <w:szCs w:val="20"/>
        </w:rPr>
        <w:t xml:space="preserve"> a payment at maturity of $</w:t>
      </w:r>
      <w:r w:rsidR="00720D30">
        <w:rPr>
          <w:szCs w:val="20"/>
        </w:rPr>
        <w:t>1,000</w:t>
      </w:r>
      <w:r w:rsidR="00720D30" w:rsidRPr="00EF40FD">
        <w:rPr>
          <w:szCs w:val="20"/>
        </w:rPr>
        <w:t>.00 per $1,000 principal amount Note</w:t>
      </w:r>
      <w:r w:rsidR="00720D30">
        <w:rPr>
          <w:szCs w:val="20"/>
        </w:rPr>
        <w:t xml:space="preserve"> that you hold</w:t>
      </w:r>
      <w:r w:rsidR="00BB0F96">
        <w:rPr>
          <w:szCs w:val="20"/>
        </w:rPr>
        <w:t>.</w:t>
      </w:r>
    </w:p>
    <w:p w:rsidR="00720D30" w:rsidRDefault="00720D30" w:rsidP="009A7576">
      <w:pPr>
        <w:pStyle w:val="BodyText2"/>
        <w:rPr>
          <w:szCs w:val="20"/>
        </w:rPr>
      </w:pPr>
      <w:r w:rsidRPr="00EF40FD">
        <w:t xml:space="preserve">The total return on </w:t>
      </w:r>
      <w:r w:rsidRPr="00EF40FD">
        <w:rPr>
          <w:szCs w:val="20"/>
        </w:rPr>
        <w:t>investment of the Notes is</w:t>
      </w:r>
      <w:r>
        <w:rPr>
          <w:szCs w:val="20"/>
        </w:rPr>
        <w:t xml:space="preserve"> 0.00</w:t>
      </w:r>
      <w:r w:rsidRPr="00EF40FD">
        <w:rPr>
          <w:szCs w:val="20"/>
        </w:rPr>
        <w:t>%</w:t>
      </w:r>
      <w:r w:rsidRPr="002473A6">
        <w:rPr>
          <w:szCs w:val="20"/>
        </w:rPr>
        <w:t>.</w:t>
      </w:r>
    </w:p>
    <w:p w:rsidR="00720D30" w:rsidRDefault="00720D30" w:rsidP="000E4333">
      <w:pPr>
        <w:keepNext/>
        <w:keepLines/>
        <w:spacing w:before="120" w:after="120"/>
        <w:rPr>
          <w:color w:val="000000"/>
          <w:szCs w:val="20"/>
        </w:rPr>
      </w:pPr>
      <w:r w:rsidRPr="00FE696B">
        <w:rPr>
          <w:b/>
        </w:rPr>
        <w:t>Example</w:t>
      </w:r>
      <w:r>
        <w:rPr>
          <w:b/>
        </w:rPr>
        <w:t xml:space="preserve"> </w:t>
      </w:r>
      <w:r w:rsidR="00832C66">
        <w:rPr>
          <w:b/>
        </w:rPr>
        <w:t>3</w:t>
      </w:r>
      <w:r w:rsidRPr="00C23812">
        <w:t>:</w:t>
      </w:r>
      <w:r w:rsidRPr="00FE696B">
        <w:rPr>
          <w:b/>
        </w:rPr>
        <w:t xml:space="preserve"> The </w:t>
      </w:r>
      <w:r>
        <w:rPr>
          <w:b/>
        </w:rPr>
        <w:t xml:space="preserve">Final </w:t>
      </w:r>
      <w:r w:rsidR="00B9325C">
        <w:rPr>
          <w:b/>
        </w:rPr>
        <w:t>Value</w:t>
      </w:r>
      <w:r w:rsidRPr="00FE696B">
        <w:rPr>
          <w:b/>
        </w:rPr>
        <w:t xml:space="preserve"> </w:t>
      </w:r>
      <w:r w:rsidRPr="00FE696B">
        <w:rPr>
          <w:b/>
          <w:color w:val="000000"/>
        </w:rPr>
        <w:t xml:space="preserve">of </w:t>
      </w:r>
      <w:r w:rsidRPr="00FE696B">
        <w:rPr>
          <w:b/>
          <w:color w:val="000000"/>
          <w:szCs w:val="20"/>
        </w:rPr>
        <w:t xml:space="preserve">the </w:t>
      </w:r>
      <w:r w:rsidR="00E40B31">
        <w:rPr>
          <w:b/>
          <w:bCs/>
          <w:szCs w:val="20"/>
        </w:rPr>
        <w:t>EEM Fund</w:t>
      </w:r>
      <w:r w:rsidR="00F02678">
        <w:rPr>
          <w:b/>
          <w:szCs w:val="20"/>
        </w:rPr>
        <w:t xml:space="preserve"> </w:t>
      </w:r>
      <w:r>
        <w:rPr>
          <w:b/>
          <w:color w:val="000000"/>
          <w:szCs w:val="20"/>
        </w:rPr>
        <w:t>is 40</w:t>
      </w:r>
      <w:r w:rsidRPr="00C23812">
        <w:rPr>
          <w:color w:val="000000"/>
          <w:szCs w:val="20"/>
        </w:rPr>
        <w:t>.</w:t>
      </w:r>
      <w:r>
        <w:rPr>
          <w:b/>
          <w:color w:val="000000"/>
          <w:szCs w:val="20"/>
        </w:rPr>
        <w:t xml:space="preserve">00 and the </w:t>
      </w:r>
      <w:r w:rsidRPr="00FE696B">
        <w:rPr>
          <w:b/>
          <w:szCs w:val="20"/>
        </w:rPr>
        <w:t xml:space="preserve">Final </w:t>
      </w:r>
      <w:r w:rsidR="00B9325C">
        <w:rPr>
          <w:b/>
        </w:rPr>
        <w:t>Value</w:t>
      </w:r>
      <w:r w:rsidRPr="00D5359A">
        <w:rPr>
          <w:b/>
        </w:rPr>
        <w:t xml:space="preserve"> of</w:t>
      </w:r>
      <w:r>
        <w:rPr>
          <w:b/>
        </w:rPr>
        <w:t xml:space="preserve"> the </w:t>
      </w:r>
      <w:r w:rsidR="00E40B31">
        <w:rPr>
          <w:b/>
          <w:bCs/>
          <w:szCs w:val="20"/>
        </w:rPr>
        <w:t>EFA Fund</w:t>
      </w:r>
      <w:r w:rsidR="00F02678">
        <w:rPr>
          <w:b/>
          <w:szCs w:val="20"/>
        </w:rPr>
        <w:t xml:space="preserve"> </w:t>
      </w:r>
      <w:r>
        <w:rPr>
          <w:b/>
        </w:rPr>
        <w:t>is</w:t>
      </w:r>
      <w:r w:rsidRPr="00D5359A">
        <w:rPr>
          <w:b/>
        </w:rPr>
        <w:t xml:space="preserve"> </w:t>
      </w:r>
      <w:r>
        <w:rPr>
          <w:b/>
        </w:rPr>
        <w:t>135</w:t>
      </w:r>
      <w:r w:rsidRPr="00C23812">
        <w:t>.</w:t>
      </w:r>
      <w:r>
        <w:rPr>
          <w:b/>
        </w:rPr>
        <w:t>00</w:t>
      </w:r>
      <w:r w:rsidRPr="00C23812">
        <w:t>.</w:t>
      </w:r>
    </w:p>
    <w:p w:rsidR="00720D30" w:rsidRDefault="00720D30" w:rsidP="000E4333">
      <w:pPr>
        <w:pStyle w:val="BodyText2"/>
        <w:keepNext/>
        <w:keepLines/>
        <w:spacing w:after="60"/>
        <w:jc w:val="both"/>
      </w:pPr>
      <w:r w:rsidRPr="00FE696B">
        <w:t xml:space="preserve">Because the </w:t>
      </w:r>
      <w:r w:rsidR="00E40B31">
        <w:t>EEM Fund</w:t>
      </w:r>
      <w:r w:rsidR="00F02678">
        <w:t xml:space="preserve"> </w:t>
      </w:r>
      <w:r>
        <w:t>has the lowe</w:t>
      </w:r>
      <w:r w:rsidR="009A7576">
        <w:t>st</w:t>
      </w:r>
      <w:r>
        <w:t xml:space="preserve"> </w:t>
      </w:r>
      <w:r w:rsidR="005360DA">
        <w:t>Reference Asset Return</w:t>
      </w:r>
      <w:r>
        <w:t xml:space="preserve">, the </w:t>
      </w:r>
      <w:r w:rsidR="00E40B31">
        <w:t>EEM Fund</w:t>
      </w:r>
      <w:r w:rsidR="00F02678">
        <w:t xml:space="preserve"> </w:t>
      </w:r>
      <w:r>
        <w:t xml:space="preserve">is the </w:t>
      </w:r>
      <w:r w:rsidR="005360DA">
        <w:t>Least Performing Reference Asset</w:t>
      </w:r>
      <w:r>
        <w:t xml:space="preserve">. Because the </w:t>
      </w:r>
      <w:r w:rsidR="00366266">
        <w:rPr>
          <w:szCs w:val="20"/>
        </w:rPr>
        <w:t>Final Value</w:t>
      </w:r>
      <w:r>
        <w:rPr>
          <w:szCs w:val="20"/>
        </w:rPr>
        <w:t xml:space="preserve"> of the </w:t>
      </w:r>
      <w:r w:rsidR="005360DA">
        <w:rPr>
          <w:szCs w:val="20"/>
        </w:rPr>
        <w:t>Least Performing Reference Asset</w:t>
      </w:r>
      <w:r>
        <w:rPr>
          <w:szCs w:val="20"/>
        </w:rPr>
        <w:t xml:space="preserve"> is less than </w:t>
      </w:r>
      <w:r w:rsidR="00366266">
        <w:rPr>
          <w:szCs w:val="20"/>
        </w:rPr>
        <w:t xml:space="preserve">its </w:t>
      </w:r>
      <w:r w:rsidR="0022262B">
        <w:rPr>
          <w:szCs w:val="20"/>
        </w:rPr>
        <w:t xml:space="preserve">Barrier </w:t>
      </w:r>
      <w:r w:rsidR="00366266">
        <w:rPr>
          <w:szCs w:val="20"/>
        </w:rPr>
        <w:t>Value</w:t>
      </w:r>
      <w:r w:rsidRPr="00FE696B">
        <w:t xml:space="preserve">, </w:t>
      </w:r>
      <w:r>
        <w:rPr>
          <w:color w:val="000000"/>
          <w:szCs w:val="20"/>
        </w:rPr>
        <w:t>you</w:t>
      </w:r>
      <w:r w:rsidRPr="00FE696B">
        <w:rPr>
          <w:color w:val="000000"/>
          <w:szCs w:val="20"/>
        </w:rPr>
        <w:t xml:space="preserve"> will receive a payment at maturity of $</w:t>
      </w:r>
      <w:r w:rsidR="0022262B">
        <w:rPr>
          <w:color w:val="000000"/>
          <w:szCs w:val="20"/>
        </w:rPr>
        <w:t>400</w:t>
      </w:r>
      <w:r>
        <w:rPr>
          <w:color w:val="000000"/>
          <w:szCs w:val="20"/>
        </w:rPr>
        <w:t xml:space="preserve">.00 </w:t>
      </w:r>
      <w:r w:rsidRPr="00FE696B">
        <w:rPr>
          <w:color w:val="000000"/>
          <w:szCs w:val="20"/>
        </w:rPr>
        <w:t xml:space="preserve">per $1,000 principal amount Note </w:t>
      </w:r>
      <w:r>
        <w:rPr>
          <w:color w:val="000000"/>
          <w:szCs w:val="20"/>
        </w:rPr>
        <w:t xml:space="preserve">that you hold, </w:t>
      </w:r>
      <w:r w:rsidRPr="00FE696B">
        <w:rPr>
          <w:color w:val="000000"/>
          <w:szCs w:val="20"/>
        </w:rPr>
        <w:t xml:space="preserve">calculated </w:t>
      </w:r>
      <w:r w:rsidRPr="00962E29">
        <w:t>as</w:t>
      </w:r>
      <w:r w:rsidRPr="00FE696B">
        <w:rPr>
          <w:color w:val="000000"/>
          <w:szCs w:val="20"/>
        </w:rPr>
        <w:t xml:space="preserve"> follows:</w:t>
      </w:r>
    </w:p>
    <w:p w:rsidR="00720D30" w:rsidRDefault="00720D30" w:rsidP="000E4333">
      <w:pPr>
        <w:pStyle w:val="BodyText2"/>
        <w:keepNext/>
        <w:keepLines/>
        <w:spacing w:before="120" w:after="0"/>
        <w:jc w:val="center"/>
        <w:rPr>
          <w:color w:val="000000"/>
          <w:szCs w:val="20"/>
        </w:rPr>
      </w:pPr>
      <w:r>
        <w:rPr>
          <w:color w:val="000000"/>
          <w:szCs w:val="20"/>
        </w:rPr>
        <w:t>$1,000 + [$1,000</w:t>
      </w:r>
      <w:r w:rsidR="00C57037">
        <w:rPr>
          <w:color w:val="000000"/>
          <w:szCs w:val="20"/>
        </w:rPr>
        <w:t xml:space="preserve"> × </w:t>
      </w:r>
      <w:r w:rsidR="005360DA">
        <w:t>Reference Asset Return</w:t>
      </w:r>
      <w:r>
        <w:t xml:space="preserve"> of </w:t>
      </w:r>
      <w:r w:rsidR="00D352D0">
        <w:t xml:space="preserve">the </w:t>
      </w:r>
      <w:r w:rsidR="005360DA">
        <w:t>Least Performing Reference Asset</w:t>
      </w:r>
      <w:r>
        <w:rPr>
          <w:color w:val="000000"/>
          <w:szCs w:val="20"/>
        </w:rPr>
        <w:t>]</w:t>
      </w:r>
    </w:p>
    <w:p w:rsidR="00720D30" w:rsidRDefault="00720D30" w:rsidP="000E4333">
      <w:pPr>
        <w:pStyle w:val="BodyText2"/>
        <w:keepNext/>
        <w:keepLines/>
        <w:jc w:val="center"/>
        <w:rPr>
          <w:color w:val="000000"/>
          <w:szCs w:val="20"/>
        </w:rPr>
      </w:pPr>
      <w:r>
        <w:rPr>
          <w:color w:val="000000"/>
          <w:szCs w:val="20"/>
        </w:rPr>
        <w:t>$1,000 + [$1,000</w:t>
      </w:r>
      <w:r w:rsidR="00C57037">
        <w:rPr>
          <w:color w:val="000000"/>
          <w:szCs w:val="20"/>
        </w:rPr>
        <w:t xml:space="preserve"> × </w:t>
      </w:r>
      <w:r w:rsidRPr="00FE696B">
        <w:rPr>
          <w:color w:val="000000"/>
          <w:szCs w:val="20"/>
        </w:rPr>
        <w:t>-</w:t>
      </w:r>
      <w:r>
        <w:rPr>
          <w:szCs w:val="20"/>
        </w:rPr>
        <w:t>60.00</w:t>
      </w:r>
      <w:r>
        <w:rPr>
          <w:color w:val="000000"/>
          <w:szCs w:val="20"/>
        </w:rPr>
        <w:t>%</w:t>
      </w:r>
      <w:r w:rsidRPr="00FE696B">
        <w:rPr>
          <w:color w:val="000000"/>
          <w:szCs w:val="20"/>
        </w:rPr>
        <w:t>] = $</w:t>
      </w:r>
      <w:r w:rsidR="0022262B">
        <w:rPr>
          <w:szCs w:val="20"/>
        </w:rPr>
        <w:t>400</w:t>
      </w:r>
      <w:r>
        <w:rPr>
          <w:szCs w:val="20"/>
        </w:rPr>
        <w:t>.00</w:t>
      </w:r>
    </w:p>
    <w:p w:rsidR="001B17BE" w:rsidRDefault="00720D30" w:rsidP="00720D30">
      <w:pPr>
        <w:pStyle w:val="BodyText2"/>
        <w:rPr>
          <w:b/>
        </w:rPr>
      </w:pPr>
      <w:r w:rsidRPr="00EF40FD">
        <w:t xml:space="preserve">The total return on </w:t>
      </w:r>
      <w:r w:rsidRPr="00EF40FD">
        <w:rPr>
          <w:szCs w:val="20"/>
        </w:rPr>
        <w:t>investment of the Notes is</w:t>
      </w:r>
      <w:r w:rsidR="004B11C0">
        <w:rPr>
          <w:szCs w:val="20"/>
        </w:rPr>
        <w:t xml:space="preserve"> </w:t>
      </w:r>
      <w:r w:rsidR="00DE60A7">
        <w:rPr>
          <w:szCs w:val="20"/>
        </w:rPr>
        <w:t>-</w:t>
      </w:r>
      <w:r w:rsidR="0022262B">
        <w:rPr>
          <w:szCs w:val="20"/>
        </w:rPr>
        <w:t>60</w:t>
      </w:r>
      <w:r w:rsidR="00DE60A7">
        <w:rPr>
          <w:szCs w:val="20"/>
        </w:rPr>
        <w:t>.00</w:t>
      </w:r>
      <w:r w:rsidRPr="00FE696B">
        <w:rPr>
          <w:szCs w:val="20"/>
        </w:rPr>
        <w:t>%</w:t>
      </w:r>
      <w:r>
        <w:rPr>
          <w:szCs w:val="20"/>
        </w:rPr>
        <w:t>.</w:t>
      </w:r>
    </w:p>
    <w:p w:rsidR="00AA5C1B" w:rsidRDefault="00AA5C1B" w:rsidP="000E4333">
      <w:pPr>
        <w:keepNext/>
        <w:keepLines/>
        <w:rPr>
          <w:color w:val="000000"/>
          <w:szCs w:val="20"/>
        </w:rPr>
      </w:pPr>
      <w:r w:rsidRPr="00FE696B">
        <w:rPr>
          <w:b/>
        </w:rPr>
        <w:t>Example</w:t>
      </w:r>
      <w:r>
        <w:rPr>
          <w:b/>
        </w:rPr>
        <w:t xml:space="preserve"> </w:t>
      </w:r>
      <w:r w:rsidR="00832C66">
        <w:rPr>
          <w:b/>
        </w:rPr>
        <w:t>4</w:t>
      </w:r>
      <w:r w:rsidRPr="00C23812">
        <w:t>:</w:t>
      </w:r>
      <w:r w:rsidRPr="00FE696B">
        <w:rPr>
          <w:b/>
        </w:rPr>
        <w:t xml:space="preserve"> The </w:t>
      </w:r>
      <w:r>
        <w:rPr>
          <w:b/>
        </w:rPr>
        <w:t xml:space="preserve">Final </w:t>
      </w:r>
      <w:r w:rsidR="00B9325C">
        <w:rPr>
          <w:b/>
        </w:rPr>
        <w:t>Value</w:t>
      </w:r>
      <w:r w:rsidRPr="00FE696B">
        <w:rPr>
          <w:b/>
        </w:rPr>
        <w:t xml:space="preserve"> </w:t>
      </w:r>
      <w:r w:rsidRPr="00FE696B">
        <w:rPr>
          <w:b/>
          <w:color w:val="000000"/>
        </w:rPr>
        <w:t xml:space="preserve">of </w:t>
      </w:r>
      <w:r w:rsidRPr="00FE696B">
        <w:rPr>
          <w:b/>
          <w:color w:val="000000"/>
          <w:szCs w:val="20"/>
        </w:rPr>
        <w:t xml:space="preserve">the </w:t>
      </w:r>
      <w:r w:rsidR="00E40B31">
        <w:rPr>
          <w:b/>
          <w:bCs/>
          <w:szCs w:val="20"/>
        </w:rPr>
        <w:t>EEM Fund</w:t>
      </w:r>
      <w:r w:rsidR="00F02678">
        <w:rPr>
          <w:b/>
          <w:szCs w:val="20"/>
        </w:rPr>
        <w:t xml:space="preserve"> </w:t>
      </w:r>
      <w:r>
        <w:rPr>
          <w:b/>
        </w:rPr>
        <w:t>is</w:t>
      </w:r>
      <w:r w:rsidRPr="00D5359A">
        <w:rPr>
          <w:b/>
        </w:rPr>
        <w:t xml:space="preserve"> </w:t>
      </w:r>
      <w:r w:rsidR="004B11C0">
        <w:rPr>
          <w:b/>
        </w:rPr>
        <w:t>40</w:t>
      </w:r>
      <w:r w:rsidR="004B11C0" w:rsidRPr="00C23812">
        <w:t>.</w:t>
      </w:r>
      <w:r w:rsidR="004B11C0">
        <w:rPr>
          <w:b/>
        </w:rPr>
        <w:t xml:space="preserve">00 and the Final </w:t>
      </w:r>
      <w:r w:rsidR="00B9325C">
        <w:rPr>
          <w:b/>
        </w:rPr>
        <w:t>Value</w:t>
      </w:r>
      <w:r w:rsidR="004B11C0">
        <w:rPr>
          <w:b/>
        </w:rPr>
        <w:t xml:space="preserve"> of the </w:t>
      </w:r>
      <w:r w:rsidR="00E40B31">
        <w:rPr>
          <w:b/>
          <w:bCs/>
          <w:szCs w:val="20"/>
        </w:rPr>
        <w:t>EFA Fund</w:t>
      </w:r>
      <w:r w:rsidR="00F02678">
        <w:rPr>
          <w:b/>
          <w:szCs w:val="20"/>
        </w:rPr>
        <w:t xml:space="preserve"> </w:t>
      </w:r>
      <w:r w:rsidR="004B11C0">
        <w:rPr>
          <w:b/>
        </w:rPr>
        <w:t xml:space="preserve">is </w:t>
      </w:r>
      <w:r>
        <w:rPr>
          <w:b/>
        </w:rPr>
        <w:t>30</w:t>
      </w:r>
      <w:r w:rsidRPr="00C23812">
        <w:t>.</w:t>
      </w:r>
      <w:r>
        <w:rPr>
          <w:b/>
        </w:rPr>
        <w:t>00</w:t>
      </w:r>
      <w:r w:rsidRPr="00C23812">
        <w:t>.</w:t>
      </w:r>
    </w:p>
    <w:p w:rsidR="00AA5C1B" w:rsidRDefault="00AA5C1B" w:rsidP="000E4333">
      <w:pPr>
        <w:pStyle w:val="BodyText2"/>
        <w:keepNext/>
        <w:keepLines/>
        <w:spacing w:after="60"/>
        <w:jc w:val="both"/>
      </w:pPr>
      <w:r w:rsidRPr="00FE696B">
        <w:t xml:space="preserve">Because the </w:t>
      </w:r>
      <w:r w:rsidR="00E40B31">
        <w:t>EFA Fund</w:t>
      </w:r>
      <w:r>
        <w:t xml:space="preserve"> has the lowe</w:t>
      </w:r>
      <w:r w:rsidR="00D11B45">
        <w:t>st</w:t>
      </w:r>
      <w:r>
        <w:t xml:space="preserve"> </w:t>
      </w:r>
      <w:r w:rsidR="005360DA">
        <w:t>Reference Asset Return</w:t>
      </w:r>
      <w:r>
        <w:t xml:space="preserve">, the </w:t>
      </w:r>
      <w:r w:rsidR="00E40B31">
        <w:t>EFA Fund</w:t>
      </w:r>
      <w:r>
        <w:t xml:space="preserve"> is the </w:t>
      </w:r>
      <w:r w:rsidR="005360DA">
        <w:t>Least Performing Reference Asset</w:t>
      </w:r>
      <w:r>
        <w:t xml:space="preserve">. Because the </w:t>
      </w:r>
      <w:r w:rsidR="00366266">
        <w:rPr>
          <w:szCs w:val="20"/>
        </w:rPr>
        <w:t>Final Value</w:t>
      </w:r>
      <w:r>
        <w:rPr>
          <w:szCs w:val="20"/>
        </w:rPr>
        <w:t xml:space="preserve"> of the </w:t>
      </w:r>
      <w:r w:rsidR="005360DA">
        <w:rPr>
          <w:szCs w:val="20"/>
        </w:rPr>
        <w:t>Least Performing Reference Asset</w:t>
      </w:r>
      <w:r>
        <w:rPr>
          <w:szCs w:val="20"/>
        </w:rPr>
        <w:t xml:space="preserve"> is less than </w:t>
      </w:r>
      <w:r w:rsidR="00366266">
        <w:rPr>
          <w:szCs w:val="20"/>
        </w:rPr>
        <w:t xml:space="preserve">its </w:t>
      </w:r>
      <w:r w:rsidR="0022262B">
        <w:rPr>
          <w:szCs w:val="20"/>
        </w:rPr>
        <w:t xml:space="preserve">Barrier </w:t>
      </w:r>
      <w:r w:rsidR="00366266">
        <w:rPr>
          <w:szCs w:val="20"/>
        </w:rPr>
        <w:t>Value</w:t>
      </w:r>
      <w:r w:rsidRPr="00FE696B">
        <w:t xml:space="preserve">, </w:t>
      </w:r>
      <w:r>
        <w:rPr>
          <w:color w:val="000000"/>
          <w:szCs w:val="20"/>
        </w:rPr>
        <w:t>you</w:t>
      </w:r>
      <w:r w:rsidRPr="00FE696B">
        <w:rPr>
          <w:color w:val="000000"/>
          <w:szCs w:val="20"/>
        </w:rPr>
        <w:t xml:space="preserve"> will receive a payment at maturity of $</w:t>
      </w:r>
      <w:r w:rsidR="0022262B">
        <w:rPr>
          <w:color w:val="000000"/>
          <w:szCs w:val="20"/>
        </w:rPr>
        <w:t>300</w:t>
      </w:r>
      <w:r>
        <w:rPr>
          <w:color w:val="000000"/>
          <w:szCs w:val="20"/>
        </w:rPr>
        <w:t xml:space="preserve">.00 </w:t>
      </w:r>
      <w:r w:rsidRPr="00FE696B">
        <w:rPr>
          <w:color w:val="000000"/>
          <w:szCs w:val="20"/>
        </w:rPr>
        <w:t xml:space="preserve">per $1,000 principal amount Note </w:t>
      </w:r>
      <w:r>
        <w:rPr>
          <w:color w:val="000000"/>
          <w:szCs w:val="20"/>
        </w:rPr>
        <w:t xml:space="preserve">that you hold, </w:t>
      </w:r>
      <w:r w:rsidRPr="00FE696B">
        <w:rPr>
          <w:color w:val="000000"/>
          <w:szCs w:val="20"/>
        </w:rPr>
        <w:t xml:space="preserve">calculated </w:t>
      </w:r>
      <w:r w:rsidRPr="00962E29">
        <w:t>as</w:t>
      </w:r>
      <w:r w:rsidRPr="00FE696B">
        <w:rPr>
          <w:color w:val="000000"/>
          <w:szCs w:val="20"/>
        </w:rPr>
        <w:t xml:space="preserve"> follows:</w:t>
      </w:r>
    </w:p>
    <w:p w:rsidR="00AA5C1B" w:rsidRDefault="00AA5C1B" w:rsidP="000E4333">
      <w:pPr>
        <w:pStyle w:val="BodyText2"/>
        <w:keepNext/>
        <w:keepLines/>
        <w:spacing w:before="120" w:after="0"/>
        <w:jc w:val="center"/>
        <w:rPr>
          <w:color w:val="000000"/>
          <w:szCs w:val="20"/>
        </w:rPr>
      </w:pPr>
      <w:r>
        <w:rPr>
          <w:color w:val="000000"/>
          <w:szCs w:val="20"/>
        </w:rPr>
        <w:t>$1,000 + [$1,000</w:t>
      </w:r>
      <w:r w:rsidR="00C57037">
        <w:rPr>
          <w:color w:val="000000"/>
          <w:szCs w:val="20"/>
        </w:rPr>
        <w:t xml:space="preserve"> × </w:t>
      </w:r>
      <w:r w:rsidR="005360DA">
        <w:t>Reference Asset Return</w:t>
      </w:r>
      <w:r>
        <w:t xml:space="preserve"> of </w:t>
      </w:r>
      <w:r w:rsidR="00D352D0">
        <w:t xml:space="preserve">the </w:t>
      </w:r>
      <w:r w:rsidR="005360DA">
        <w:t>Least Performing Reference Asset</w:t>
      </w:r>
      <w:r>
        <w:rPr>
          <w:color w:val="000000"/>
          <w:szCs w:val="20"/>
        </w:rPr>
        <w:t>]</w:t>
      </w:r>
    </w:p>
    <w:p w:rsidR="00AA5C1B" w:rsidRDefault="00AA5C1B" w:rsidP="000E4333">
      <w:pPr>
        <w:pStyle w:val="BodyText2"/>
        <w:keepNext/>
        <w:keepLines/>
        <w:jc w:val="center"/>
        <w:rPr>
          <w:color w:val="000000"/>
          <w:szCs w:val="20"/>
        </w:rPr>
      </w:pPr>
      <w:r>
        <w:rPr>
          <w:color w:val="000000"/>
          <w:szCs w:val="20"/>
        </w:rPr>
        <w:t>$1,000 + [$1,000</w:t>
      </w:r>
      <w:r w:rsidR="00C57037">
        <w:rPr>
          <w:color w:val="000000"/>
          <w:szCs w:val="20"/>
        </w:rPr>
        <w:t xml:space="preserve"> × </w:t>
      </w:r>
      <w:r w:rsidRPr="00FE696B">
        <w:rPr>
          <w:color w:val="000000"/>
          <w:szCs w:val="20"/>
        </w:rPr>
        <w:t>-</w:t>
      </w:r>
      <w:r>
        <w:rPr>
          <w:szCs w:val="20"/>
        </w:rPr>
        <w:t>70.00</w:t>
      </w:r>
      <w:r>
        <w:rPr>
          <w:color w:val="000000"/>
          <w:szCs w:val="20"/>
        </w:rPr>
        <w:t>%</w:t>
      </w:r>
      <w:r w:rsidRPr="00FE696B">
        <w:rPr>
          <w:color w:val="000000"/>
          <w:szCs w:val="20"/>
        </w:rPr>
        <w:t>] = $</w:t>
      </w:r>
      <w:r w:rsidR="0022262B">
        <w:rPr>
          <w:szCs w:val="20"/>
        </w:rPr>
        <w:t>300</w:t>
      </w:r>
      <w:r>
        <w:rPr>
          <w:szCs w:val="20"/>
        </w:rPr>
        <w:t>.00</w:t>
      </w:r>
    </w:p>
    <w:p w:rsidR="00AA5C1B" w:rsidRDefault="00AA5C1B" w:rsidP="001F2174">
      <w:pPr>
        <w:pStyle w:val="BodyText2"/>
        <w:spacing w:after="240"/>
        <w:rPr>
          <w:szCs w:val="20"/>
        </w:rPr>
      </w:pPr>
      <w:r w:rsidRPr="00EF40FD">
        <w:t xml:space="preserve">The total return on </w:t>
      </w:r>
      <w:r w:rsidRPr="00EF40FD">
        <w:rPr>
          <w:szCs w:val="20"/>
        </w:rPr>
        <w:t>investment of the Notes is</w:t>
      </w:r>
      <w:r w:rsidR="004B11C0">
        <w:rPr>
          <w:szCs w:val="20"/>
        </w:rPr>
        <w:t xml:space="preserve"> -</w:t>
      </w:r>
      <w:r w:rsidR="0022262B">
        <w:rPr>
          <w:szCs w:val="20"/>
        </w:rPr>
        <w:t>70</w:t>
      </w:r>
      <w:r>
        <w:rPr>
          <w:szCs w:val="20"/>
        </w:rPr>
        <w:t>.00</w:t>
      </w:r>
      <w:r w:rsidRPr="00FE696B">
        <w:rPr>
          <w:szCs w:val="20"/>
        </w:rPr>
        <w:t>%.</w:t>
      </w:r>
    </w:p>
    <w:p w:rsidR="00A8207D" w:rsidRDefault="00A8207D" w:rsidP="00A8207D">
      <w:pPr>
        <w:pStyle w:val="BodyText1"/>
        <w:jc w:val="both"/>
        <w:rPr>
          <w:szCs w:val="20"/>
        </w:rPr>
      </w:pPr>
      <w:r>
        <w:rPr>
          <w:szCs w:val="20"/>
        </w:rPr>
        <w:t xml:space="preserve">Each example above demonstrates that the payment at maturity on your Notes will be calculated </w:t>
      </w:r>
      <w:r w:rsidRPr="006A65D9">
        <w:rPr>
          <w:i/>
          <w:szCs w:val="20"/>
        </w:rPr>
        <w:t>solely</w:t>
      </w:r>
      <w:r>
        <w:rPr>
          <w:szCs w:val="20"/>
        </w:rPr>
        <w:t xml:space="preserve"> based on the </w:t>
      </w:r>
      <w:r w:rsidR="005360DA">
        <w:rPr>
          <w:szCs w:val="20"/>
        </w:rPr>
        <w:t>Reference Asset Return</w:t>
      </w:r>
      <w:r>
        <w:rPr>
          <w:szCs w:val="20"/>
        </w:rPr>
        <w:t xml:space="preserve"> of the </w:t>
      </w:r>
      <w:r w:rsidR="005360DA">
        <w:rPr>
          <w:szCs w:val="20"/>
        </w:rPr>
        <w:t>Least Performing Reference Asset</w:t>
      </w:r>
      <w:r>
        <w:rPr>
          <w:szCs w:val="20"/>
        </w:rPr>
        <w:t>.</w:t>
      </w:r>
    </w:p>
    <w:p w:rsidR="007028E3" w:rsidRDefault="00720D30" w:rsidP="00C23812">
      <w:pPr>
        <w:pStyle w:val="BodyText1"/>
        <w:spacing w:before="240"/>
        <w:jc w:val="both"/>
        <w:rPr>
          <w:b/>
          <w:i/>
          <w:szCs w:val="20"/>
        </w:rPr>
      </w:pPr>
      <w:r w:rsidRPr="002E4815">
        <w:rPr>
          <w:szCs w:val="20"/>
        </w:rPr>
        <w:t>Example</w:t>
      </w:r>
      <w:r>
        <w:rPr>
          <w:szCs w:val="20"/>
        </w:rPr>
        <w:t xml:space="preserve">s </w:t>
      </w:r>
      <w:r w:rsidR="004B11C0">
        <w:rPr>
          <w:szCs w:val="20"/>
        </w:rPr>
        <w:t>3 and 4</w:t>
      </w:r>
      <w:r>
        <w:rPr>
          <w:szCs w:val="20"/>
        </w:rPr>
        <w:t xml:space="preserve"> demonstrate</w:t>
      </w:r>
      <w:r w:rsidRPr="002E4815">
        <w:rPr>
          <w:szCs w:val="20"/>
        </w:rPr>
        <w:t xml:space="preserve"> that </w:t>
      </w:r>
      <w:r>
        <w:rPr>
          <w:szCs w:val="20"/>
        </w:rPr>
        <w:t xml:space="preserve">if the </w:t>
      </w:r>
      <w:r w:rsidR="00C328DE">
        <w:rPr>
          <w:szCs w:val="20"/>
        </w:rPr>
        <w:t>Final Value</w:t>
      </w:r>
      <w:r>
        <w:rPr>
          <w:szCs w:val="20"/>
        </w:rPr>
        <w:t xml:space="preserve"> of the </w:t>
      </w:r>
      <w:r w:rsidR="005360DA">
        <w:rPr>
          <w:szCs w:val="20"/>
        </w:rPr>
        <w:t>Least Performing Reference Asset</w:t>
      </w:r>
      <w:r>
        <w:rPr>
          <w:szCs w:val="20"/>
        </w:rPr>
        <w:t xml:space="preserve"> is less than </w:t>
      </w:r>
      <w:r w:rsidR="00C328DE">
        <w:rPr>
          <w:szCs w:val="20"/>
        </w:rPr>
        <w:t xml:space="preserve">its </w:t>
      </w:r>
      <w:r w:rsidR="0022262B">
        <w:rPr>
          <w:szCs w:val="20"/>
        </w:rPr>
        <w:t xml:space="preserve">Barrier </w:t>
      </w:r>
      <w:r w:rsidR="00C328DE">
        <w:rPr>
          <w:szCs w:val="20"/>
        </w:rPr>
        <w:t>Value</w:t>
      </w:r>
      <w:r>
        <w:rPr>
          <w:szCs w:val="20"/>
        </w:rPr>
        <w:t xml:space="preserve">, </w:t>
      </w:r>
      <w:r w:rsidR="00512051" w:rsidRPr="00512051">
        <w:rPr>
          <w:szCs w:val="20"/>
        </w:rPr>
        <w:t>your investment in the Notes will be fully exposed to the decline of the Least Performing Reference Asset from its Initial Value</w:t>
      </w:r>
      <w:r>
        <w:rPr>
          <w:szCs w:val="20"/>
        </w:rPr>
        <w:t xml:space="preserve">. </w:t>
      </w:r>
      <w:r>
        <w:rPr>
          <w:rFonts w:eastAsia="Times New Roman"/>
          <w:szCs w:val="20"/>
          <w:lang w:val="en-US" w:eastAsia="en-US"/>
        </w:rPr>
        <w:t xml:space="preserve">You will not benefit in any way from the </w:t>
      </w:r>
      <w:r w:rsidR="005360DA">
        <w:rPr>
          <w:rFonts w:eastAsia="Times New Roman"/>
          <w:szCs w:val="20"/>
          <w:lang w:val="en-US" w:eastAsia="en-US"/>
        </w:rPr>
        <w:t>Reference Asset Return</w:t>
      </w:r>
      <w:r>
        <w:rPr>
          <w:rFonts w:eastAsia="Times New Roman"/>
          <w:szCs w:val="20"/>
          <w:lang w:val="en-US" w:eastAsia="en-US"/>
        </w:rPr>
        <w:t xml:space="preserve"> of </w:t>
      </w:r>
      <w:r w:rsidR="00182308">
        <w:rPr>
          <w:rFonts w:eastAsia="Times New Roman"/>
          <w:szCs w:val="20"/>
          <w:lang w:val="en-US" w:eastAsia="en-US"/>
        </w:rPr>
        <w:t xml:space="preserve">any </w:t>
      </w:r>
      <w:r>
        <w:rPr>
          <w:rFonts w:eastAsia="Times New Roman"/>
          <w:szCs w:val="20"/>
          <w:lang w:val="en-US" w:eastAsia="en-US"/>
        </w:rPr>
        <w:t xml:space="preserve">other </w:t>
      </w:r>
      <w:r w:rsidR="00F02678">
        <w:rPr>
          <w:rFonts w:eastAsia="Times New Roman"/>
          <w:szCs w:val="20"/>
          <w:lang w:val="en-US" w:eastAsia="en-US"/>
        </w:rPr>
        <w:t xml:space="preserve">Reference Asset </w:t>
      </w:r>
      <w:r>
        <w:rPr>
          <w:rFonts w:eastAsia="Times New Roman"/>
          <w:szCs w:val="20"/>
          <w:lang w:val="en-US" w:eastAsia="en-US"/>
        </w:rPr>
        <w:t xml:space="preserve">being higher than the </w:t>
      </w:r>
      <w:r w:rsidR="005360DA">
        <w:rPr>
          <w:rFonts w:eastAsia="Times New Roman"/>
          <w:szCs w:val="20"/>
          <w:lang w:val="en-US" w:eastAsia="en-US"/>
        </w:rPr>
        <w:t>Reference Asset Return</w:t>
      </w:r>
      <w:r>
        <w:rPr>
          <w:rFonts w:eastAsia="Times New Roman"/>
          <w:szCs w:val="20"/>
          <w:lang w:val="en-US" w:eastAsia="en-US"/>
        </w:rPr>
        <w:t xml:space="preserve"> of the </w:t>
      </w:r>
      <w:r w:rsidR="005360DA">
        <w:rPr>
          <w:rFonts w:eastAsia="Times New Roman"/>
          <w:szCs w:val="20"/>
          <w:lang w:val="en-US" w:eastAsia="en-US"/>
        </w:rPr>
        <w:t>Least Performing Reference Asset</w:t>
      </w:r>
      <w:r w:rsidRPr="007D35BA">
        <w:rPr>
          <w:i/>
          <w:szCs w:val="20"/>
        </w:rPr>
        <w:t>.</w:t>
      </w:r>
      <w:r>
        <w:rPr>
          <w:b/>
          <w:i/>
          <w:szCs w:val="20"/>
        </w:rPr>
        <w:t xml:space="preserve"> </w:t>
      </w:r>
    </w:p>
    <w:p w:rsidR="00A8207D" w:rsidRPr="0008696C" w:rsidRDefault="00097826" w:rsidP="00A8207D">
      <w:pPr>
        <w:pStyle w:val="BodyText1"/>
        <w:jc w:val="both"/>
        <w:rPr>
          <w:b/>
          <w:i/>
          <w:szCs w:val="20"/>
        </w:rPr>
      </w:pPr>
      <w:r>
        <w:rPr>
          <w:b/>
          <w:i/>
          <w:szCs w:val="20"/>
        </w:rPr>
        <w:t xml:space="preserve">You may lose up to </w:t>
      </w:r>
      <w:r w:rsidR="00512051">
        <w:rPr>
          <w:b/>
          <w:i/>
          <w:szCs w:val="20"/>
        </w:rPr>
        <w:t>10</w:t>
      </w:r>
      <w:r>
        <w:rPr>
          <w:b/>
          <w:i/>
          <w:szCs w:val="20"/>
        </w:rPr>
        <w:t>0.00% of the principal amount of your Notes</w:t>
      </w:r>
      <w:r w:rsidR="0026214B" w:rsidRPr="0026214B">
        <w:rPr>
          <w:b/>
          <w:i/>
          <w:szCs w:val="20"/>
        </w:rPr>
        <w:t>. Any payment on the Notes</w:t>
      </w:r>
      <w:r w:rsidR="00512051">
        <w:rPr>
          <w:b/>
          <w:i/>
          <w:szCs w:val="20"/>
        </w:rPr>
        <w:t xml:space="preserve"> </w:t>
      </w:r>
      <w:r w:rsidR="0026214B" w:rsidRPr="0026214B">
        <w:rPr>
          <w:b/>
          <w:i/>
          <w:szCs w:val="20"/>
        </w:rPr>
        <w:t>is subject to the credit risk of Barclays Bank PLC.</w:t>
      </w:r>
    </w:p>
    <w:p w:rsidR="00AA5C1B" w:rsidRDefault="00AA5C1B" w:rsidP="00354C5D">
      <w:pPr>
        <w:pStyle w:val="BodyText2"/>
        <w:rPr>
          <w:szCs w:val="20"/>
        </w:rPr>
      </w:pPr>
    </w:p>
    <w:p w:rsidR="00245810" w:rsidRDefault="00B45116">
      <w:pPr>
        <w:pStyle w:val="BodyText2"/>
        <w:spacing w:after="240"/>
        <w:rPr>
          <w:b/>
        </w:rPr>
      </w:pPr>
      <w:r>
        <w:br w:type="page"/>
      </w:r>
    </w:p>
    <w:p w:rsidR="008678CA" w:rsidRDefault="000A7489" w:rsidP="0010195C">
      <w:pPr>
        <w:pStyle w:val="HeadingB"/>
        <w:keepNext/>
        <w:rPr>
          <w:caps/>
        </w:rPr>
      </w:pPr>
      <w:bookmarkStart w:id="4" w:name="Selected_Risk_Considerations"/>
      <w:r>
        <w:rPr>
          <w:caps/>
        </w:rPr>
        <w:t>Selected Risk Considerations</w:t>
      </w:r>
      <w:bookmarkEnd w:id="4"/>
    </w:p>
    <w:p w:rsidR="00C32B87" w:rsidRDefault="001D776E" w:rsidP="0069701C">
      <w:pPr>
        <w:pStyle w:val="BodyText1"/>
        <w:jc w:val="both"/>
      </w:pPr>
      <w:r>
        <w:t>An investment in the No</w:t>
      </w:r>
      <w:r w:rsidR="00C23812">
        <w:t>tes involves significant risks.</w:t>
      </w:r>
      <w:r>
        <w:t xml:space="preserve"> Investing in the Notes is not equivalent to investing directly in the </w:t>
      </w:r>
      <w:r w:rsidR="005360DA">
        <w:t>Reference Assets</w:t>
      </w:r>
      <w:r w:rsidR="00F44285">
        <w:t xml:space="preserve"> </w:t>
      </w:r>
      <w:r>
        <w:t xml:space="preserve">or </w:t>
      </w:r>
      <w:r w:rsidR="0069701C">
        <w:t>their components</w:t>
      </w:r>
      <w:r w:rsidR="00CC2AF3">
        <w:t>, if any</w:t>
      </w:r>
      <w:r w:rsidR="00C23812">
        <w:t>.</w:t>
      </w:r>
      <w:r>
        <w:t xml:space="preserve"> </w:t>
      </w:r>
      <w:r w:rsidR="0069701C">
        <w:t>Some of the risks that apply to an investment in the Notes are summarized below, but we urge you to read the more detailed explanation of risks relating to the Notes generally in the “Risk Factors” section of the prospectus supplement. You should not purchase the Notes unless you understand and can bear the risks of investing in the Notes.</w:t>
      </w:r>
    </w:p>
    <w:p w:rsidR="00056A1B" w:rsidRPr="00983DDC" w:rsidRDefault="008233AA" w:rsidP="00463611">
      <w:pPr>
        <w:pStyle w:val="Bullet"/>
        <w:spacing w:before="60" w:after="60"/>
        <w:ind w:left="360"/>
        <w:contextualSpacing w:val="0"/>
        <w:jc w:val="both"/>
        <w:rPr>
          <w:color w:val="000000"/>
          <w:szCs w:val="20"/>
        </w:rPr>
      </w:pPr>
      <w:r>
        <w:rPr>
          <w:b/>
        </w:rPr>
        <w:t>Your Investment in the Notes May Result in a Significant Loss</w:t>
      </w:r>
      <w:r>
        <w:t>—</w:t>
      </w:r>
      <w:r w:rsidR="00AE27F5" w:rsidRPr="00AE27F5">
        <w:t>The Notes differ from ordinary debt securities in that the Issuer will not necessarily repay the full principal amount of the Notes at maturity.</w:t>
      </w:r>
      <w:r w:rsidR="00AE27F5">
        <w:t xml:space="preserve"> </w:t>
      </w:r>
      <w:r>
        <w:t xml:space="preserve">If </w:t>
      </w:r>
      <w:r w:rsidR="00C151B5">
        <w:t>the</w:t>
      </w:r>
      <w:r w:rsidR="00B02213">
        <w:t xml:space="preserve"> </w:t>
      </w:r>
      <w:r w:rsidR="00366266">
        <w:t>Final Value</w:t>
      </w:r>
      <w:r w:rsidR="00B02213">
        <w:t xml:space="preserve"> of the</w:t>
      </w:r>
      <w:r w:rsidR="00C151B5">
        <w:t xml:space="preserve"> </w:t>
      </w:r>
      <w:r w:rsidR="005360DA">
        <w:t>Least Performing Reference Asset</w:t>
      </w:r>
      <w:r w:rsidR="00F50C5E">
        <w:t xml:space="preserve"> </w:t>
      </w:r>
      <w:r w:rsidR="006E0FE4">
        <w:t xml:space="preserve">is less </w:t>
      </w:r>
      <w:r w:rsidR="006C6E2D">
        <w:t xml:space="preserve">than </w:t>
      </w:r>
      <w:r w:rsidR="00366266">
        <w:t xml:space="preserve">its </w:t>
      </w:r>
      <w:r w:rsidR="0022262B">
        <w:t xml:space="preserve">Barrier </w:t>
      </w:r>
      <w:r w:rsidR="00366266">
        <w:t>Value</w:t>
      </w:r>
      <w:r w:rsidR="00B02213">
        <w:t xml:space="preserve">, </w:t>
      </w:r>
      <w:r w:rsidR="00512051" w:rsidRPr="00512051">
        <w:t>your Notes will be fully exposed to the decline of the Least Performing Reference Asset from its Initial Value</w:t>
      </w:r>
      <w:r w:rsidR="00C23812">
        <w:t>.</w:t>
      </w:r>
      <w:r w:rsidR="00AE27F5">
        <w:t xml:space="preserve"> </w:t>
      </w:r>
      <w:r w:rsidR="00A4740C">
        <w:rPr>
          <w:b/>
          <w:i/>
        </w:rPr>
        <w:t>You</w:t>
      </w:r>
      <w:r w:rsidR="00FA4491" w:rsidRPr="003568D8">
        <w:rPr>
          <w:b/>
          <w:i/>
        </w:rPr>
        <w:t xml:space="preserve"> </w:t>
      </w:r>
      <w:r w:rsidR="00DB2C96" w:rsidRPr="003568D8">
        <w:rPr>
          <w:b/>
          <w:i/>
        </w:rPr>
        <w:t xml:space="preserve">may lose up to </w:t>
      </w:r>
      <w:r w:rsidR="00512051">
        <w:rPr>
          <w:b/>
          <w:i/>
        </w:rPr>
        <w:t>10</w:t>
      </w:r>
      <w:r w:rsidR="00161823">
        <w:rPr>
          <w:b/>
          <w:i/>
        </w:rPr>
        <w:t>0.00</w:t>
      </w:r>
      <w:r w:rsidR="00DB2C96" w:rsidRPr="003568D8">
        <w:rPr>
          <w:b/>
          <w:i/>
        </w:rPr>
        <w:t>% of the principal amount of your Notes</w:t>
      </w:r>
      <w:r w:rsidR="00C23812">
        <w:rPr>
          <w:szCs w:val="20"/>
        </w:rPr>
        <w:t>.</w:t>
      </w:r>
      <w:r w:rsidR="0008696C" w:rsidRPr="0008696C">
        <w:t xml:space="preserve"> </w:t>
      </w:r>
    </w:p>
    <w:p w:rsidR="00AE27F5" w:rsidRPr="00AE27F5" w:rsidRDefault="00AE27F5" w:rsidP="0010195C">
      <w:pPr>
        <w:pStyle w:val="Bullet"/>
        <w:spacing w:before="60" w:after="60"/>
        <w:ind w:left="360"/>
        <w:contextualSpacing w:val="0"/>
        <w:jc w:val="both"/>
        <w:rPr>
          <w:szCs w:val="20"/>
        </w:rPr>
      </w:pPr>
      <w:r>
        <w:rPr>
          <w:b/>
        </w:rPr>
        <w:t xml:space="preserve">You </w:t>
      </w:r>
      <w:r w:rsidR="00512051">
        <w:rPr>
          <w:b/>
        </w:rPr>
        <w:t xml:space="preserve">Are </w:t>
      </w:r>
      <w:r>
        <w:rPr>
          <w:b/>
        </w:rPr>
        <w:t>Exposed to the Market Risk of E</w:t>
      </w:r>
      <w:r w:rsidRPr="00AE27F5">
        <w:rPr>
          <w:b/>
        </w:rPr>
        <w:t xml:space="preserve">ach </w:t>
      </w:r>
      <w:r>
        <w:rPr>
          <w:b/>
        </w:rPr>
        <w:t>Reference Asset</w:t>
      </w:r>
      <w:r w:rsidRPr="009A789F">
        <w:t>—</w:t>
      </w:r>
      <w:r w:rsidR="0026214B" w:rsidRPr="0026214B">
        <w:t xml:space="preserve">Your return on the Notes is not linked to a basket consisting of the </w:t>
      </w:r>
      <w:r>
        <w:t>Reference Assets</w:t>
      </w:r>
      <w:r w:rsidR="0026214B" w:rsidRPr="0026214B">
        <w:t xml:space="preserve">. Rather, it will be contingent upon the independent performance of each </w:t>
      </w:r>
      <w:r>
        <w:t>Reference Asset</w:t>
      </w:r>
      <w:r w:rsidR="0026214B" w:rsidRPr="0026214B">
        <w:t xml:space="preserve">. Unlike an instrument with a return linked to a basket of underlying assets in which risk is mitigated and diversified among all the components of the basket, you will be exposed to the risks related to each </w:t>
      </w:r>
      <w:r>
        <w:t>Reference Asset</w:t>
      </w:r>
      <w:r w:rsidR="0026214B" w:rsidRPr="0026214B">
        <w:t xml:space="preserve">. Poor performance by </w:t>
      </w:r>
      <w:r w:rsidR="0066730E">
        <w:t>any</w:t>
      </w:r>
      <w:r w:rsidR="0066730E" w:rsidRPr="0026214B">
        <w:t xml:space="preserve"> </w:t>
      </w:r>
      <w:r>
        <w:t xml:space="preserve">Reference Asset </w:t>
      </w:r>
      <w:r w:rsidR="0026214B" w:rsidRPr="0026214B">
        <w:t xml:space="preserve">over the term of the Notes may negatively affect your return and will not be offset or mitigated by any increases or lesser declines in the </w:t>
      </w:r>
      <w:r w:rsidR="00B9325C">
        <w:t>value</w:t>
      </w:r>
      <w:r w:rsidR="0026214B" w:rsidRPr="0026214B">
        <w:t xml:space="preserve"> of the other </w:t>
      </w:r>
      <w:r>
        <w:t>Reference Asset</w:t>
      </w:r>
      <w:r w:rsidR="00097826">
        <w:t xml:space="preserve">. </w:t>
      </w:r>
      <w:r w:rsidR="00512051">
        <w:t>If</w:t>
      </w:r>
      <w:r w:rsidR="0026214B" w:rsidRPr="0026214B">
        <w:t xml:space="preserve"> the </w:t>
      </w:r>
      <w:r>
        <w:t>Final</w:t>
      </w:r>
      <w:r w:rsidR="0026214B" w:rsidRPr="0026214B">
        <w:t xml:space="preserve"> </w:t>
      </w:r>
      <w:r w:rsidR="00B9325C">
        <w:t>Value</w:t>
      </w:r>
      <w:r w:rsidR="0026214B" w:rsidRPr="0026214B">
        <w:t xml:space="preserve"> of </w:t>
      </w:r>
      <w:r w:rsidR="00512051">
        <w:t xml:space="preserve">any </w:t>
      </w:r>
      <w:r>
        <w:t xml:space="preserve">Reference Asset </w:t>
      </w:r>
      <w:r w:rsidR="0026214B" w:rsidRPr="0026214B">
        <w:t xml:space="preserve">is less than </w:t>
      </w:r>
      <w:r w:rsidR="00366266">
        <w:t xml:space="preserve">its </w:t>
      </w:r>
      <w:r w:rsidR="0022262B">
        <w:t xml:space="preserve">Barrier </w:t>
      </w:r>
      <w:r w:rsidR="00366266">
        <w:t>Value</w:t>
      </w:r>
      <w:r w:rsidR="0026214B" w:rsidRPr="0026214B">
        <w:t xml:space="preserve">, you will be exposed to the full decline in the </w:t>
      </w:r>
      <w:r w:rsidR="00512051">
        <w:t>Least</w:t>
      </w:r>
      <w:r w:rsidR="00512051" w:rsidRPr="0026214B">
        <w:t xml:space="preserve"> </w:t>
      </w:r>
      <w:r w:rsidR="0026214B" w:rsidRPr="0026214B">
        <w:t xml:space="preserve">Performing </w:t>
      </w:r>
      <w:r>
        <w:t xml:space="preserve">Reference Asset </w:t>
      </w:r>
      <w:r w:rsidR="00512051">
        <w:t>from its Initial Value</w:t>
      </w:r>
      <w:r w:rsidR="0026214B" w:rsidRPr="0026214B">
        <w:t xml:space="preserve">. Accordingly, your investment is subject to the market risk of each </w:t>
      </w:r>
      <w:r>
        <w:t>Reference Asset</w:t>
      </w:r>
      <w:r w:rsidR="0026214B" w:rsidRPr="0026214B">
        <w:t>.</w:t>
      </w:r>
    </w:p>
    <w:p w:rsidR="00056A1B" w:rsidRDefault="00A4740C" w:rsidP="0010195C">
      <w:pPr>
        <w:pStyle w:val="Bullet"/>
        <w:spacing w:before="60" w:after="60"/>
        <w:ind w:left="360"/>
        <w:contextualSpacing w:val="0"/>
        <w:jc w:val="both"/>
      </w:pPr>
      <w:r>
        <w:rPr>
          <w:b/>
        </w:rPr>
        <w:t xml:space="preserve">The </w:t>
      </w:r>
      <w:r w:rsidRPr="008E6B45">
        <w:rPr>
          <w:b/>
        </w:rPr>
        <w:t xml:space="preserve">Payment at </w:t>
      </w:r>
      <w:r w:rsidR="005A4DBF" w:rsidRPr="005A4DBF">
        <w:rPr>
          <w:b/>
          <w:bCs/>
          <w:szCs w:val="20"/>
        </w:rPr>
        <w:t>Maturity</w:t>
      </w:r>
      <w:r w:rsidR="00512051">
        <w:rPr>
          <w:b/>
          <w:bCs/>
          <w:szCs w:val="20"/>
        </w:rPr>
        <w:t>, If Any,</w:t>
      </w:r>
      <w:r>
        <w:rPr>
          <w:b/>
        </w:rPr>
        <w:t xml:space="preserve"> is B</w:t>
      </w:r>
      <w:r w:rsidR="00CD2919">
        <w:rPr>
          <w:b/>
        </w:rPr>
        <w:t>a</w:t>
      </w:r>
      <w:r>
        <w:rPr>
          <w:b/>
        </w:rPr>
        <w:t xml:space="preserve">sed </w:t>
      </w:r>
      <w:r w:rsidR="002B589B">
        <w:rPr>
          <w:b/>
        </w:rPr>
        <w:t xml:space="preserve">Solely </w:t>
      </w:r>
      <w:r>
        <w:rPr>
          <w:b/>
        </w:rPr>
        <w:t xml:space="preserve">on the </w:t>
      </w:r>
      <w:r w:rsidR="002B589B">
        <w:rPr>
          <w:b/>
        </w:rPr>
        <w:t xml:space="preserve">Closing </w:t>
      </w:r>
      <w:r w:rsidR="00B9325C">
        <w:rPr>
          <w:b/>
        </w:rPr>
        <w:t>Value</w:t>
      </w:r>
      <w:r>
        <w:rPr>
          <w:b/>
        </w:rPr>
        <w:t xml:space="preserve"> </w:t>
      </w:r>
      <w:r w:rsidR="00F50C5E">
        <w:rPr>
          <w:b/>
        </w:rPr>
        <w:t xml:space="preserve">of the </w:t>
      </w:r>
      <w:r w:rsidR="005360DA">
        <w:rPr>
          <w:b/>
        </w:rPr>
        <w:t>Least Performing Reference Asset</w:t>
      </w:r>
      <w:r w:rsidR="00F50C5E">
        <w:rPr>
          <w:b/>
        </w:rPr>
        <w:t xml:space="preserve"> on </w:t>
      </w:r>
      <w:r>
        <w:rPr>
          <w:b/>
        </w:rPr>
        <w:t>the Final Valuation Date</w:t>
      </w:r>
      <w:r>
        <w:t xml:space="preserve">—The Final </w:t>
      </w:r>
      <w:r w:rsidR="00B9325C">
        <w:t>Value</w:t>
      </w:r>
      <w:r w:rsidR="00E40B31">
        <w:t xml:space="preserve"> of </w:t>
      </w:r>
      <w:r w:rsidR="00B20424">
        <w:t xml:space="preserve">a </w:t>
      </w:r>
      <w:r w:rsidR="00E40B31">
        <w:t>Reference Asset</w:t>
      </w:r>
      <w:r>
        <w:t xml:space="preserve"> will be based </w:t>
      </w:r>
      <w:r w:rsidRPr="00C23812">
        <w:rPr>
          <w:i/>
        </w:rPr>
        <w:t>solely</w:t>
      </w:r>
      <w:r>
        <w:t xml:space="preserve"> on </w:t>
      </w:r>
      <w:r w:rsidR="00E40B31">
        <w:t xml:space="preserve">its </w:t>
      </w:r>
      <w:r>
        <w:t xml:space="preserve">Closing </w:t>
      </w:r>
      <w:r w:rsidR="00B9325C">
        <w:t>Value</w:t>
      </w:r>
      <w:r>
        <w:t xml:space="preserve"> on the Final Valuation Date</w:t>
      </w:r>
      <w:r w:rsidR="006C6E2D">
        <w:t>, and your payment at maturity will be determined based solely on the performance of the Least Performing Reference Asset from the Initial Valuation Date to the Final Valuation Date</w:t>
      </w:r>
      <w:r>
        <w:t xml:space="preserve">. </w:t>
      </w:r>
      <w:r w:rsidR="00F50C5E">
        <w:t>Accordingly</w:t>
      </w:r>
      <w:r>
        <w:t>, if the</w:t>
      </w:r>
      <w:r w:rsidR="00F44285">
        <w:t xml:space="preserve"> </w:t>
      </w:r>
      <w:r w:rsidR="00B9325C">
        <w:t>value</w:t>
      </w:r>
      <w:r w:rsidR="000A5FBA">
        <w:t xml:space="preserve"> </w:t>
      </w:r>
      <w:r>
        <w:t xml:space="preserve">of the </w:t>
      </w:r>
      <w:r w:rsidR="005360DA">
        <w:t>Least Performing Reference Asset</w:t>
      </w:r>
      <w:r w:rsidR="00F50C5E">
        <w:t xml:space="preserve"> </w:t>
      </w:r>
      <w:r>
        <w:t xml:space="preserve">drops on the Final Valuation Date, the payment at maturity </w:t>
      </w:r>
      <w:r w:rsidR="009A7576">
        <w:t>on the</w:t>
      </w:r>
      <w:r>
        <w:t xml:space="preserve"> Notes</w:t>
      </w:r>
      <w:r w:rsidR="009A7576">
        <w:t xml:space="preserve"> </w:t>
      </w:r>
      <w:r>
        <w:t xml:space="preserve">may be significantly less than it would have been had </w:t>
      </w:r>
      <w:r w:rsidR="007028E3">
        <w:t>it</w:t>
      </w:r>
      <w:r>
        <w:t xml:space="preserve"> been linked to the </w:t>
      </w:r>
      <w:r w:rsidR="00B9325C">
        <w:t>value</w:t>
      </w:r>
      <w:r w:rsidR="00BB0F96">
        <w:t xml:space="preserve"> </w:t>
      </w:r>
      <w:r>
        <w:t xml:space="preserve">of </w:t>
      </w:r>
      <w:r w:rsidR="002B589B">
        <w:t xml:space="preserve">the </w:t>
      </w:r>
      <w:r w:rsidR="00BB0F96">
        <w:t>Reference Asset</w:t>
      </w:r>
      <w:r w:rsidR="00F50C5E">
        <w:t xml:space="preserve"> at any time </w:t>
      </w:r>
      <w:r>
        <w:t>prior to such drop.</w:t>
      </w:r>
      <w:r w:rsidR="00F03247">
        <w:t xml:space="preserve"> </w:t>
      </w:r>
    </w:p>
    <w:p w:rsidR="00056A1B" w:rsidRDefault="000A7489" w:rsidP="0010195C">
      <w:pPr>
        <w:pStyle w:val="Bullet"/>
        <w:spacing w:before="60" w:after="60"/>
        <w:ind w:left="360"/>
        <w:contextualSpacing w:val="0"/>
        <w:jc w:val="both"/>
        <w:rPr>
          <w:b/>
          <w:bCs/>
          <w:szCs w:val="20"/>
        </w:rPr>
      </w:pPr>
      <w:r>
        <w:rPr>
          <w:b/>
          <w:bCs/>
          <w:szCs w:val="20"/>
        </w:rPr>
        <w:t>Credit of Issuer</w:t>
      </w:r>
      <w:r w:rsidRPr="009A789F">
        <w:rPr>
          <w:bCs/>
          <w:szCs w:val="20"/>
        </w:rPr>
        <w:t>—</w:t>
      </w:r>
      <w:r>
        <w:rPr>
          <w:bCs/>
          <w:szCs w:val="20"/>
        </w:rPr>
        <w:t xml:space="preserve">The Notes are unsecured </w:t>
      </w:r>
      <w:r w:rsidR="00BF3A59">
        <w:rPr>
          <w:bCs/>
          <w:szCs w:val="20"/>
        </w:rPr>
        <w:t xml:space="preserve">and unsubordinated </w:t>
      </w:r>
      <w:r>
        <w:rPr>
          <w:bCs/>
          <w:szCs w:val="20"/>
        </w:rPr>
        <w:t xml:space="preserve">debt obligations of the </w:t>
      </w:r>
      <w:r w:rsidR="00BF3A59">
        <w:rPr>
          <w:bCs/>
          <w:szCs w:val="20"/>
        </w:rPr>
        <w:t>Issuer</w:t>
      </w:r>
      <w:r>
        <w:rPr>
          <w:bCs/>
          <w:szCs w:val="20"/>
        </w:rPr>
        <w:t>, Barclays Bank PLC</w:t>
      </w:r>
      <w:r w:rsidR="00F25B03">
        <w:rPr>
          <w:bCs/>
          <w:szCs w:val="20"/>
        </w:rPr>
        <w:t>,</w:t>
      </w:r>
      <w:r>
        <w:rPr>
          <w:bCs/>
          <w:szCs w:val="20"/>
        </w:rPr>
        <w:t xml:space="preserve"> and are not, either directly or indirectly, an obligation of any third party. Any payment to be made on the Notes</w:t>
      </w:r>
      <w:r w:rsidR="00A44149">
        <w:rPr>
          <w:bCs/>
          <w:szCs w:val="20"/>
        </w:rPr>
        <w:t xml:space="preserve"> </w:t>
      </w:r>
      <w:r w:rsidR="006F55AF">
        <w:rPr>
          <w:bCs/>
          <w:szCs w:val="20"/>
        </w:rPr>
        <w:t>is subject to</w:t>
      </w:r>
      <w:r>
        <w:rPr>
          <w:bCs/>
          <w:szCs w:val="20"/>
        </w:rPr>
        <w:t xml:space="preserve"> the ability of Barclays Bank PLC to satisfy its obligations as they come due</w:t>
      </w:r>
      <w:r>
        <w:rPr>
          <w:bCs/>
        </w:rPr>
        <w:t xml:space="preserve"> and is not guaranteed by any third party</w:t>
      </w:r>
      <w:r w:rsidR="00C23812">
        <w:rPr>
          <w:bCs/>
          <w:szCs w:val="20"/>
        </w:rPr>
        <w:t>.</w:t>
      </w:r>
      <w:r>
        <w:rPr>
          <w:bCs/>
          <w:szCs w:val="20"/>
        </w:rPr>
        <w:t xml:space="preserve"> </w:t>
      </w:r>
      <w:r w:rsidR="00236DB7" w:rsidRPr="00236DB7">
        <w:rPr>
          <w:bCs/>
          <w:szCs w:val="20"/>
          <w:lang w:val="en-US"/>
        </w:rPr>
        <w:t>As a result, the actual and perceived creditworthiness of Barclays Bank PLC</w:t>
      </w:r>
      <w:r w:rsidR="00236DB7" w:rsidRPr="00236DB7">
        <w:rPr>
          <w:b/>
          <w:bCs/>
          <w:szCs w:val="20"/>
          <w:lang w:val="en-US"/>
        </w:rPr>
        <w:t xml:space="preserve"> </w:t>
      </w:r>
      <w:r w:rsidR="00236DB7" w:rsidRPr="00236DB7">
        <w:rPr>
          <w:bCs/>
          <w:szCs w:val="20"/>
          <w:lang w:val="en-US"/>
        </w:rPr>
        <w:t>may affect the market value of the Notes, and in</w:t>
      </w:r>
      <w:r>
        <w:rPr>
          <w:bCs/>
          <w:szCs w:val="20"/>
        </w:rPr>
        <w:t xml:space="preserve"> the event Barclays Bank PLC were to default on its obligations, you may not receive any amounts owed to you under the terms of the Notes.</w:t>
      </w:r>
    </w:p>
    <w:p w:rsidR="0032085C" w:rsidRDefault="0069701C">
      <w:pPr>
        <w:pStyle w:val="Bullet"/>
        <w:keepLines/>
        <w:numPr>
          <w:ilvl w:val="2"/>
          <w:numId w:val="1"/>
        </w:numPr>
        <w:tabs>
          <w:tab w:val="clear" w:pos="2160"/>
          <w:tab w:val="num" w:pos="720"/>
          <w:tab w:val="num" w:pos="2520"/>
        </w:tabs>
        <w:spacing w:before="60" w:after="60"/>
        <w:ind w:left="360"/>
        <w:contextualSpacing w:val="0"/>
        <w:jc w:val="both"/>
      </w:pPr>
      <w:r>
        <w:rPr>
          <w:b/>
        </w:rPr>
        <w:t xml:space="preserve">You May </w:t>
      </w:r>
      <w:r w:rsidRPr="00065580">
        <w:rPr>
          <w:b/>
        </w:rPr>
        <w:t>Lose Some or Al</w:t>
      </w:r>
      <w:r>
        <w:rPr>
          <w:b/>
        </w:rPr>
        <w:t>l of Your Investment If Any U</w:t>
      </w:r>
      <w:r w:rsidRPr="007A1616">
        <w:t>.</w:t>
      </w:r>
      <w:r>
        <w:rPr>
          <w:b/>
        </w:rPr>
        <w:t>K</w:t>
      </w:r>
      <w:r w:rsidRPr="007A1616">
        <w:t>.</w:t>
      </w:r>
      <w:r w:rsidRPr="00065580">
        <w:rPr>
          <w:b/>
        </w:rPr>
        <w:t xml:space="preserve"> Bail-in Power Is Exercised</w:t>
      </w:r>
      <w:r>
        <w:rPr>
          <w:b/>
        </w:rPr>
        <w:t xml:space="preserve"> by the Relevant U</w:t>
      </w:r>
      <w:r w:rsidRPr="007A1616">
        <w:t>.</w:t>
      </w:r>
      <w:r>
        <w:rPr>
          <w:b/>
        </w:rPr>
        <w:t>K</w:t>
      </w:r>
      <w:r w:rsidRPr="007A1616">
        <w:t>.</w:t>
      </w:r>
      <w:r>
        <w:rPr>
          <w:b/>
        </w:rPr>
        <w:t xml:space="preserve"> Resolution Authority</w:t>
      </w:r>
      <w:r w:rsidRPr="00050D30">
        <w:t>—</w:t>
      </w:r>
      <w:r w:rsidRPr="00E5782A">
        <w:t>Notwithstanding any other agreements, arrangements or understandings between Barclays Bank PLC and any holder</w:t>
      </w:r>
      <w:r>
        <w:t xml:space="preserve"> or beneficial owner</w:t>
      </w:r>
      <w:r w:rsidRPr="00E5782A">
        <w:t xml:space="preserve"> of the </w:t>
      </w:r>
      <w:r>
        <w:t>Notes</w:t>
      </w:r>
      <w:r w:rsidRPr="00E5782A">
        <w:t xml:space="preserve">, by acquiring the </w:t>
      </w:r>
      <w:r>
        <w:t>Notes</w:t>
      </w:r>
      <w:r w:rsidRPr="00E5782A">
        <w:t xml:space="preserve">, each holder </w:t>
      </w:r>
      <w:r>
        <w:t xml:space="preserve">and beneficial owner </w:t>
      </w:r>
      <w:r w:rsidRPr="00E5782A">
        <w:t xml:space="preserve">of the </w:t>
      </w:r>
      <w:r>
        <w:t>Notes</w:t>
      </w:r>
      <w:r w:rsidRPr="00E5782A">
        <w:t xml:space="preserve"> acknowledges, accepts, agrees to be bound by, and consents to the exercise of, any U.K. Bail-in Power by the relevant U.K. resolution authority</w:t>
      </w:r>
      <w:r>
        <w:t xml:space="preserve"> as set forth under </w:t>
      </w:r>
      <w:r w:rsidRPr="00507F6D">
        <w:rPr>
          <w:szCs w:val="18"/>
        </w:rPr>
        <w:t xml:space="preserve">“Consent to U.K. Bail-in Power” in </w:t>
      </w:r>
      <w:r>
        <w:rPr>
          <w:szCs w:val="18"/>
        </w:rPr>
        <w:t>this pricing supplement</w:t>
      </w:r>
      <w:r>
        <w:t xml:space="preserve">. </w:t>
      </w:r>
      <w:r w:rsidRPr="00507F6D">
        <w:rPr>
          <w:szCs w:val="18"/>
        </w:rPr>
        <w:t>Accordingly, any U.K. Bail-in Power may be exercised in such a manner as to result in you and other holders</w:t>
      </w:r>
      <w:r>
        <w:rPr>
          <w:szCs w:val="18"/>
        </w:rPr>
        <w:t xml:space="preserve"> and beneficial owners</w:t>
      </w:r>
      <w:r w:rsidRPr="00507F6D">
        <w:rPr>
          <w:szCs w:val="18"/>
        </w:rPr>
        <w:t xml:space="preserve"> of the Notes losing all or a part of the value of your investment in the Notes or receiving a different security from the Notes, which may be worth significantly less than the </w:t>
      </w:r>
      <w:r>
        <w:rPr>
          <w:szCs w:val="18"/>
        </w:rPr>
        <w:t>N</w:t>
      </w:r>
      <w:r w:rsidRPr="00507F6D">
        <w:rPr>
          <w:szCs w:val="18"/>
        </w:rPr>
        <w:t xml:space="preserve">otes and which may have significantly fewer protections than those typically afforded to debt securities. Moreover, the relevant U.K. resolution authority may exercise the U.K. Bail-in Power without providing any advance notice to, or requiring the consent of, the holders </w:t>
      </w:r>
      <w:r>
        <w:rPr>
          <w:szCs w:val="18"/>
        </w:rPr>
        <w:t xml:space="preserve"> and the beneficial owners </w:t>
      </w:r>
      <w:r w:rsidRPr="00507F6D">
        <w:rPr>
          <w:szCs w:val="18"/>
        </w:rPr>
        <w:t xml:space="preserve">of the </w:t>
      </w:r>
      <w:r>
        <w:rPr>
          <w:szCs w:val="18"/>
        </w:rPr>
        <w:t>N</w:t>
      </w:r>
      <w:r w:rsidRPr="00507F6D">
        <w:rPr>
          <w:szCs w:val="18"/>
        </w:rPr>
        <w:t xml:space="preserve">otes. The exercise of any U.K. Bail-in Power by the relevant U.K. resolution authority with respect to the Notes will not be a </w:t>
      </w:r>
      <w:r>
        <w:rPr>
          <w:szCs w:val="18"/>
        </w:rPr>
        <w:t>d</w:t>
      </w:r>
      <w:r w:rsidRPr="00507F6D">
        <w:rPr>
          <w:szCs w:val="18"/>
        </w:rPr>
        <w:t>efault or an Event of Default (as each term is defined in the</w:t>
      </w:r>
      <w:r>
        <w:rPr>
          <w:szCs w:val="18"/>
        </w:rPr>
        <w:t xml:space="preserve"> senior debt securities</w:t>
      </w:r>
      <w:r w:rsidRPr="00507F6D">
        <w:rPr>
          <w:szCs w:val="18"/>
        </w:rPr>
        <w:t xml:space="preserve"> indenture) and the trustee will not be liable for any action that the trustee takes, or abstains from taking, in either case, in accordance with the exercise of the U.K. Bail-in Power by the relevant U.K. resolution authority with respect to the Notes. See “Consent to U.K. Bail-in Power” in </w:t>
      </w:r>
      <w:r>
        <w:rPr>
          <w:szCs w:val="18"/>
        </w:rPr>
        <w:t>this pricing supplement</w:t>
      </w:r>
      <w:r w:rsidRPr="00507F6D">
        <w:rPr>
          <w:szCs w:val="18"/>
        </w:rPr>
        <w:t xml:space="preserve"> as well as “U.K. Bail-in Power,” “Risk Factors—Risks Relating to the Securities Generally—Regulatory action in the event a bank or investment firm in the Group</w:t>
      </w:r>
      <w:r>
        <w:rPr>
          <w:szCs w:val="18"/>
        </w:rPr>
        <w:t xml:space="preserve"> </w:t>
      </w:r>
      <w:r w:rsidRPr="00507F6D">
        <w:rPr>
          <w:szCs w:val="18"/>
        </w:rPr>
        <w:t xml:space="preserve">is failing or likely to fail could materially adversely affect the value of the securities” </w:t>
      </w:r>
      <w:r>
        <w:rPr>
          <w:szCs w:val="18"/>
        </w:rPr>
        <w:t xml:space="preserve">and </w:t>
      </w:r>
      <w:r w:rsidRPr="00507F6D">
        <w:rPr>
          <w:szCs w:val="18"/>
        </w:rPr>
        <w:t>“Risk Factors—Risks Relating to the Securities Generally—Under the terms of the securities, you have agreed to be bound by the exercise of any U.K. Bail-in Power by the relevant U.K. resolution authority” in the accompanying prospectus supplement</w:t>
      </w:r>
      <w:r>
        <w:rPr>
          <w:iCs/>
          <w:szCs w:val="18"/>
        </w:rPr>
        <w:t>.</w:t>
      </w:r>
    </w:p>
    <w:p w:rsidR="006B3276" w:rsidRDefault="0069701C" w:rsidP="0010195C">
      <w:pPr>
        <w:pStyle w:val="Bullet"/>
        <w:numPr>
          <w:ilvl w:val="2"/>
          <w:numId w:val="1"/>
        </w:numPr>
        <w:tabs>
          <w:tab w:val="clear" w:pos="2160"/>
          <w:tab w:val="num" w:pos="720"/>
          <w:tab w:val="num" w:pos="2520"/>
        </w:tabs>
        <w:spacing w:before="60" w:after="60"/>
        <w:ind w:left="360"/>
        <w:contextualSpacing w:val="0"/>
        <w:jc w:val="both"/>
        <w:rPr>
          <w:b/>
        </w:rPr>
      </w:pPr>
      <w:r>
        <w:rPr>
          <w:b/>
        </w:rPr>
        <w:t xml:space="preserve">Owning the Notes is Not the Same as Owning Any Reference Asset or Any Securities to which </w:t>
      </w:r>
      <w:r w:rsidR="0047392A">
        <w:rPr>
          <w:b/>
        </w:rPr>
        <w:t xml:space="preserve">Any </w:t>
      </w:r>
      <w:r>
        <w:rPr>
          <w:b/>
        </w:rPr>
        <w:t>Reference Asset Provide</w:t>
      </w:r>
      <w:r w:rsidR="0047392A">
        <w:rPr>
          <w:b/>
        </w:rPr>
        <w:t>s</w:t>
      </w:r>
      <w:r>
        <w:rPr>
          <w:b/>
        </w:rPr>
        <w:t xml:space="preserve"> Exposure</w:t>
      </w:r>
      <w:r>
        <w:t xml:space="preserve">—The return on the Notes may not reflect the return you would realize if you actually owned any Reference Asset or any securities to which </w:t>
      </w:r>
      <w:r w:rsidR="0047392A">
        <w:t xml:space="preserve">any </w:t>
      </w:r>
      <w:r>
        <w:t>Reference Asset provide</w:t>
      </w:r>
      <w:r w:rsidR="0047392A">
        <w:t>s</w:t>
      </w:r>
      <w:r>
        <w:t xml:space="preserve"> exposure. As a holder of the Notes, you will not have voting rights or rights to receive dividends or other distributions or any other rights that holders of </w:t>
      </w:r>
      <w:r w:rsidR="0047392A">
        <w:t xml:space="preserve">any </w:t>
      </w:r>
      <w:r>
        <w:t xml:space="preserve">Reference Asset or any securities to which </w:t>
      </w:r>
      <w:r w:rsidR="0047392A">
        <w:t xml:space="preserve">any </w:t>
      </w:r>
      <w:r>
        <w:t>Reference Asset provide</w:t>
      </w:r>
      <w:r w:rsidR="0047392A">
        <w:t>s</w:t>
      </w:r>
      <w:r>
        <w:t xml:space="preserve"> exposure may have.</w:t>
      </w:r>
    </w:p>
    <w:p w:rsidR="00056A1B" w:rsidRPr="006E79F7" w:rsidRDefault="00A4740C" w:rsidP="00C67381">
      <w:pPr>
        <w:pStyle w:val="Bullet"/>
        <w:keepLines/>
        <w:numPr>
          <w:ilvl w:val="2"/>
          <w:numId w:val="1"/>
        </w:numPr>
        <w:tabs>
          <w:tab w:val="clear" w:pos="2160"/>
          <w:tab w:val="num" w:pos="720"/>
          <w:tab w:val="num" w:pos="2520"/>
        </w:tabs>
        <w:spacing w:before="60" w:after="60"/>
        <w:ind w:left="360"/>
        <w:contextualSpacing w:val="0"/>
        <w:jc w:val="both"/>
        <w:rPr>
          <w:b/>
        </w:rPr>
      </w:pPr>
      <w:r>
        <w:rPr>
          <w:b/>
        </w:rPr>
        <w:t xml:space="preserve">Historical Performance of the </w:t>
      </w:r>
      <w:r w:rsidR="005360DA">
        <w:rPr>
          <w:b/>
        </w:rPr>
        <w:t>Reference Assets</w:t>
      </w:r>
      <w:r w:rsidR="00F50C5E">
        <w:rPr>
          <w:b/>
        </w:rPr>
        <w:t xml:space="preserve"> </w:t>
      </w:r>
      <w:r>
        <w:rPr>
          <w:b/>
        </w:rPr>
        <w:t xml:space="preserve">Should Not Be Taken as Any Indication of the Future Performance of the </w:t>
      </w:r>
      <w:r w:rsidR="005360DA">
        <w:rPr>
          <w:b/>
        </w:rPr>
        <w:t>Reference Assets</w:t>
      </w:r>
      <w:r w:rsidR="00F50C5E">
        <w:rPr>
          <w:b/>
        </w:rPr>
        <w:t xml:space="preserve"> </w:t>
      </w:r>
      <w:r>
        <w:rPr>
          <w:b/>
        </w:rPr>
        <w:t>Over the Term of the Notes</w:t>
      </w:r>
      <w:r w:rsidRPr="009A789F">
        <w:t>—</w:t>
      </w:r>
      <w:r w:rsidR="00596B16">
        <w:rPr>
          <w:rFonts w:eastAsia="Times New Roman"/>
          <w:szCs w:val="20"/>
          <w:lang w:val="en-US" w:eastAsia="en-US"/>
        </w:rPr>
        <w:t xml:space="preserve">The </w:t>
      </w:r>
      <w:r w:rsidR="00B9325C">
        <w:rPr>
          <w:rFonts w:eastAsia="Times New Roman"/>
          <w:szCs w:val="20"/>
          <w:lang w:val="en-US" w:eastAsia="en-US"/>
        </w:rPr>
        <w:t>value</w:t>
      </w:r>
      <w:r w:rsidR="000A5FBA" w:rsidRPr="00091221">
        <w:rPr>
          <w:rFonts w:eastAsia="Times New Roman"/>
          <w:szCs w:val="20"/>
          <w:lang w:val="en-US" w:eastAsia="en-US"/>
        </w:rPr>
        <w:t xml:space="preserve"> of each Reference Asset </w:t>
      </w:r>
      <w:r w:rsidR="00596B16">
        <w:rPr>
          <w:rFonts w:eastAsia="Times New Roman"/>
          <w:szCs w:val="20"/>
          <w:lang w:val="en-US" w:eastAsia="en-US"/>
        </w:rPr>
        <w:t>has fluctuated in the past and may, in the future, experience significant fluctuations</w:t>
      </w:r>
      <w:r w:rsidR="00596B16">
        <w:t>.</w:t>
      </w:r>
      <w:r w:rsidR="005D75E2">
        <w:t xml:space="preserve"> </w:t>
      </w:r>
      <w:r>
        <w:t xml:space="preserve">The historical performance of </w:t>
      </w:r>
      <w:r w:rsidR="005360DA">
        <w:t>a Reference Asset</w:t>
      </w:r>
      <w:r>
        <w:t xml:space="preserve"> is not an indication of the future performance of th</w:t>
      </w:r>
      <w:r w:rsidR="00F50C5E">
        <w:t xml:space="preserve">at </w:t>
      </w:r>
      <w:r w:rsidR="000A5FBA">
        <w:t xml:space="preserve">Reference Asset </w:t>
      </w:r>
      <w:r>
        <w:t xml:space="preserve">over </w:t>
      </w:r>
      <w:r w:rsidRPr="008E6B45">
        <w:rPr>
          <w:szCs w:val="20"/>
        </w:rPr>
        <w:t>the</w:t>
      </w:r>
      <w:r>
        <w:t xml:space="preserve"> term of the Notes. </w:t>
      </w:r>
      <w:r w:rsidR="00F50C5E">
        <w:t xml:space="preserve">The historical correlation </w:t>
      </w:r>
      <w:r w:rsidR="00512051">
        <w:t xml:space="preserve">among </w:t>
      </w:r>
      <w:r w:rsidR="00F50C5E">
        <w:t xml:space="preserve">the </w:t>
      </w:r>
      <w:r w:rsidR="005360DA">
        <w:t>Reference Assets</w:t>
      </w:r>
      <w:r w:rsidR="00F50C5E">
        <w:t xml:space="preserve"> is not an indication of the future correlation </w:t>
      </w:r>
      <w:r w:rsidR="00512051">
        <w:t xml:space="preserve">among </w:t>
      </w:r>
      <w:r w:rsidR="00F50C5E">
        <w:t xml:space="preserve">them over the term of the Notes. </w:t>
      </w:r>
      <w:r>
        <w:t xml:space="preserve">Therefore, the performance of the </w:t>
      </w:r>
      <w:r w:rsidR="005360DA">
        <w:t>Reference Assets</w:t>
      </w:r>
      <w:r w:rsidR="00F50C5E">
        <w:t xml:space="preserve"> individually or in comparison to each other </w:t>
      </w:r>
      <w:r>
        <w:t xml:space="preserve">over the term of the Notes may bear no relation or resemblance to the historical performance </w:t>
      </w:r>
      <w:r w:rsidR="00F50C5E">
        <w:t xml:space="preserve">of </w:t>
      </w:r>
      <w:r w:rsidR="00512051">
        <w:t xml:space="preserve">any </w:t>
      </w:r>
      <w:r w:rsidR="000A5FBA">
        <w:t>Reference Asset</w:t>
      </w:r>
      <w:r>
        <w:t>.</w:t>
      </w:r>
    </w:p>
    <w:p w:rsidR="0069701C" w:rsidRDefault="0069701C" w:rsidP="00F65B92">
      <w:pPr>
        <w:pStyle w:val="Bullet"/>
        <w:numPr>
          <w:ilvl w:val="2"/>
          <w:numId w:val="1"/>
        </w:numPr>
        <w:tabs>
          <w:tab w:val="clear" w:pos="2160"/>
          <w:tab w:val="num" w:pos="720"/>
          <w:tab w:val="num" w:pos="2520"/>
        </w:tabs>
        <w:spacing w:before="60" w:after="60"/>
        <w:ind w:left="360"/>
        <w:contextualSpacing w:val="0"/>
        <w:jc w:val="both"/>
        <w:rPr>
          <w:b/>
        </w:rPr>
      </w:pPr>
      <w:r>
        <w:rPr>
          <w:b/>
        </w:rPr>
        <w:t>Certain Features of Exchange-Traded Funds Will Impact the Value of the Notes</w:t>
      </w:r>
      <w:r>
        <w:rPr>
          <w:rFonts w:eastAsia="Times New Roman"/>
          <w:lang w:val="en-US" w:eastAsia="en-US"/>
        </w:rPr>
        <w:t>—</w:t>
      </w:r>
      <w:r>
        <w:t>The performance of each Reference Asset will not fully replicate the performance of its Underlying Index (as defined below), and each Reference Asset may hold securities not included in its Underlying Index. The value of each Reference Asset is subject to:</w:t>
      </w:r>
    </w:p>
    <w:p w:rsidR="0069701C" w:rsidRDefault="0069701C" w:rsidP="0069701C">
      <w:pPr>
        <w:pStyle w:val="Bullet"/>
        <w:numPr>
          <w:ilvl w:val="1"/>
          <w:numId w:val="1"/>
        </w:numPr>
        <w:spacing w:before="60" w:after="60"/>
        <w:contextualSpacing w:val="0"/>
        <w:jc w:val="both"/>
      </w:pPr>
      <w:r w:rsidRPr="00786B68">
        <w:rPr>
          <w:i/>
        </w:rPr>
        <w:t xml:space="preserve">Management </w:t>
      </w:r>
      <w:r>
        <w:rPr>
          <w:i/>
        </w:rPr>
        <w:t>r</w:t>
      </w:r>
      <w:r w:rsidRPr="00786B68">
        <w:rPr>
          <w:i/>
        </w:rPr>
        <w:t>isk</w:t>
      </w:r>
      <w:r w:rsidRPr="00D2750F">
        <w:t>.</w:t>
      </w:r>
      <w:r>
        <w:t xml:space="preserve"> </w:t>
      </w:r>
      <w:r w:rsidRPr="00786B68">
        <w:t xml:space="preserve">This is the risk that the investment strategy for </w:t>
      </w:r>
      <w:r>
        <w:rPr>
          <w:szCs w:val="20"/>
        </w:rPr>
        <w:t>the Reference Asset</w:t>
      </w:r>
      <w:r w:rsidRPr="00FD5BB4">
        <w:t>, the implementation of which is subject to a number of constraints, may not</w:t>
      </w:r>
      <w:r>
        <w:t xml:space="preserve"> produce the intended results. The investment adviser of each Reference Asset may have the right to use a portion of the Reference Asset’s assets to invest in shares of equity securities that are not included in its Underlying Index. The Reference Assets are </w:t>
      </w:r>
      <w:r>
        <w:rPr>
          <w:szCs w:val="20"/>
        </w:rPr>
        <w:t>not actively managed, and the investment adviser of the Reference Assets will generally not attempt to take defensive positions in declining markets.</w:t>
      </w:r>
    </w:p>
    <w:p w:rsidR="0069701C" w:rsidRDefault="0069701C" w:rsidP="0069701C">
      <w:pPr>
        <w:pStyle w:val="Bullet"/>
        <w:numPr>
          <w:ilvl w:val="1"/>
          <w:numId w:val="1"/>
        </w:numPr>
        <w:spacing w:before="60" w:after="60"/>
        <w:contextualSpacing w:val="0"/>
        <w:jc w:val="both"/>
      </w:pPr>
      <w:r w:rsidRPr="001F1AB9">
        <w:rPr>
          <w:i/>
        </w:rPr>
        <w:t xml:space="preserve">Derivatives </w:t>
      </w:r>
      <w:r>
        <w:rPr>
          <w:i/>
        </w:rPr>
        <w:t>r</w:t>
      </w:r>
      <w:r w:rsidRPr="001F1AB9">
        <w:rPr>
          <w:i/>
        </w:rPr>
        <w:t>isk</w:t>
      </w:r>
      <w:r w:rsidRPr="00D2750F">
        <w:t>.</w:t>
      </w:r>
      <w:r w:rsidRPr="00082117">
        <w:t xml:space="preserve"> </w:t>
      </w:r>
      <w:r>
        <w:rPr>
          <w:szCs w:val="20"/>
        </w:rPr>
        <w:t xml:space="preserve">The Reference Assets </w:t>
      </w:r>
      <w:r>
        <w:t>may invest in derivatives, including forward contracts, futures contracts, options on futures contracts, options and swaps. A derivative is a financial contract, the value of which depends on, or is derived from, the value of an underlying asset such as a security or an index. Compared to conventional securities, derivatives can be more sensitive to changes in interest rates</w:t>
      </w:r>
      <w:r w:rsidRPr="00D62D26">
        <w:t xml:space="preserve"> or to sudd</w:t>
      </w:r>
      <w:r w:rsidRPr="00786B68">
        <w:t>e</w:t>
      </w:r>
      <w:r w:rsidRPr="00D62D26">
        <w:t>n</w:t>
      </w:r>
      <w:r w:rsidRPr="00786B68">
        <w:t xml:space="preserve"> fluctuations in market prices, and thus </w:t>
      </w:r>
      <w:r>
        <w:rPr>
          <w:szCs w:val="20"/>
        </w:rPr>
        <w:t xml:space="preserve">each Reference Asset’s </w:t>
      </w:r>
      <w:r w:rsidRPr="00786B68">
        <w:t xml:space="preserve">losses may be greater than if </w:t>
      </w:r>
      <w:r>
        <w:rPr>
          <w:szCs w:val="20"/>
        </w:rPr>
        <w:t xml:space="preserve">the Reference Asset </w:t>
      </w:r>
      <w:r w:rsidRPr="00786B68">
        <w:t>invested only in c</w:t>
      </w:r>
      <w:r>
        <w:t>onventional securities.</w:t>
      </w:r>
    </w:p>
    <w:p w:rsidR="0069701C" w:rsidRPr="00E045D1" w:rsidRDefault="0069701C" w:rsidP="0069701C">
      <w:pPr>
        <w:pStyle w:val="Bullet"/>
        <w:numPr>
          <w:ilvl w:val="1"/>
          <w:numId w:val="1"/>
        </w:numPr>
        <w:spacing w:before="60" w:after="60"/>
        <w:contextualSpacing w:val="0"/>
        <w:jc w:val="both"/>
      </w:pPr>
      <w:r>
        <w:rPr>
          <w:i/>
        </w:rPr>
        <w:t xml:space="preserve">Transaction costs and fees. </w:t>
      </w:r>
      <w:r>
        <w:t xml:space="preserve">Unlike its Underlying Index, </w:t>
      </w:r>
      <w:r>
        <w:rPr>
          <w:szCs w:val="20"/>
        </w:rPr>
        <w:t xml:space="preserve">each Reference Asset </w:t>
      </w:r>
      <w:r>
        <w:t xml:space="preserve">will reflect transaction costs and fees that will reduce its performance relative to its Underlying Index. </w:t>
      </w:r>
    </w:p>
    <w:p w:rsidR="0069701C" w:rsidRPr="00E045D1" w:rsidRDefault="0069701C" w:rsidP="00F65B92">
      <w:pPr>
        <w:pStyle w:val="Bullet"/>
        <w:numPr>
          <w:ilvl w:val="0"/>
          <w:numId w:val="0"/>
        </w:numPr>
        <w:tabs>
          <w:tab w:val="num" w:pos="2520"/>
        </w:tabs>
        <w:spacing w:before="60" w:after="60"/>
        <w:ind w:left="360"/>
        <w:contextualSpacing w:val="0"/>
        <w:jc w:val="both"/>
        <w:rPr>
          <w:szCs w:val="20"/>
        </w:rPr>
      </w:pPr>
      <w:r>
        <w:rPr>
          <w:szCs w:val="20"/>
        </w:rPr>
        <w:t xml:space="preserve">Generally, the longer the time remaining to maturity, the more the market price of the Notes will be affected by the factors described above. In addition, the price of the Reference Assets may diverge significantly from the performance of its Underlying Index due to differences in trading hours between Reference Asset and the securities composing its Underlying Index or other circumstances. </w:t>
      </w:r>
      <w:r w:rsidRPr="004026C7">
        <w:rPr>
          <w:szCs w:val="20"/>
        </w:rPr>
        <w:t xml:space="preserve">During periods of market volatility, </w:t>
      </w:r>
      <w:r>
        <w:rPr>
          <w:szCs w:val="20"/>
        </w:rPr>
        <w:t xml:space="preserve">the component securities held by each Reference Asset </w:t>
      </w:r>
      <w:r w:rsidRPr="004026C7">
        <w:rPr>
          <w:szCs w:val="20"/>
        </w:rPr>
        <w:t xml:space="preserve">may be unavailable in the secondary market, market participants may be unable to calculate accurately the intraday net asset value per share of </w:t>
      </w:r>
      <w:r w:rsidRPr="0069701C">
        <w:t>the</w:t>
      </w:r>
      <w:r>
        <w:rPr>
          <w:szCs w:val="20"/>
        </w:rPr>
        <w:t xml:space="preserve"> Reference Asset </w:t>
      </w:r>
      <w:r w:rsidRPr="004026C7">
        <w:rPr>
          <w:szCs w:val="20"/>
        </w:rPr>
        <w:t xml:space="preserve">and the liquidity of </w:t>
      </w:r>
      <w:r>
        <w:rPr>
          <w:szCs w:val="20"/>
        </w:rPr>
        <w:t xml:space="preserve">the Reference Asset </w:t>
      </w:r>
      <w:r w:rsidRPr="004026C7">
        <w:rPr>
          <w:szCs w:val="20"/>
        </w:rPr>
        <w:t xml:space="preserve">may be adversely affected. This kind of market volatility may also disrupt the ability of market participants to create and redeem shares in </w:t>
      </w:r>
      <w:r>
        <w:rPr>
          <w:szCs w:val="20"/>
        </w:rPr>
        <w:t>each Reference Asset</w:t>
      </w:r>
      <w:r w:rsidRPr="004026C7">
        <w:rPr>
          <w:szCs w:val="20"/>
        </w:rPr>
        <w:t xml:space="preserve">. Further, market volatility may adversely affect, sometimes materially, the prices at which market participants are willing to buy and sell shares of </w:t>
      </w:r>
      <w:r>
        <w:rPr>
          <w:szCs w:val="20"/>
        </w:rPr>
        <w:t>each Reference Asset</w:t>
      </w:r>
      <w:r w:rsidRPr="004026C7">
        <w:rPr>
          <w:szCs w:val="20"/>
        </w:rPr>
        <w:t xml:space="preserve">. As a result, under these circumstances, the market value of </w:t>
      </w:r>
      <w:r>
        <w:rPr>
          <w:szCs w:val="20"/>
        </w:rPr>
        <w:t xml:space="preserve">each Reference Asset </w:t>
      </w:r>
      <w:r w:rsidRPr="004026C7">
        <w:rPr>
          <w:szCs w:val="20"/>
        </w:rPr>
        <w:t xml:space="preserve">may vary substantially from the net asset value per share of </w:t>
      </w:r>
      <w:r>
        <w:rPr>
          <w:szCs w:val="20"/>
        </w:rPr>
        <w:t>the Reference Asset</w:t>
      </w:r>
      <w:r w:rsidRPr="004026C7">
        <w:rPr>
          <w:szCs w:val="20"/>
        </w:rPr>
        <w:t xml:space="preserve">. </w:t>
      </w:r>
      <w:r>
        <w:rPr>
          <w:szCs w:val="20"/>
        </w:rPr>
        <w:t>Because the Notes are linked to the performance of the Reference Assets and not the Underlying Index of the Reference Assets, the return on your Notes may be less than that of an alternative investment linked directly to the Underlying Index.</w:t>
      </w:r>
    </w:p>
    <w:p w:rsidR="0069701C" w:rsidRPr="001479FB" w:rsidRDefault="0069701C" w:rsidP="00F65B92">
      <w:pPr>
        <w:pStyle w:val="Bullet"/>
        <w:numPr>
          <w:ilvl w:val="2"/>
          <w:numId w:val="1"/>
        </w:numPr>
        <w:tabs>
          <w:tab w:val="clear" w:pos="2160"/>
          <w:tab w:val="num" w:pos="720"/>
          <w:tab w:val="num" w:pos="2520"/>
        </w:tabs>
        <w:spacing w:before="60" w:after="60"/>
        <w:ind w:left="360"/>
        <w:contextualSpacing w:val="0"/>
        <w:jc w:val="both"/>
        <w:rPr>
          <w:b/>
        </w:rPr>
      </w:pPr>
      <w:r>
        <w:rPr>
          <w:b/>
          <w:bCs/>
        </w:rPr>
        <w:t>Anti-dilution Protection Is Limited, and the Calculation Agent Has Discretion to Make Anti-dilution Adjustments</w:t>
      </w:r>
      <w:r>
        <w:t>—The Calculation Agent may in its sole discretion make adjustments affecting the amounts payable on the Notes upon the occurrence of certain events that the Calculation Agent determines have a diluting or concentrative effect on the theoretical value of the shares of any Reference Asset. However, the Calculation Agent might not make such adjustments in response to all events that could affect the shares of any Reference Asset. The occurrence of any such event and any adjustment made by the Calculation Agent (or a determination by the Calculation Agent not to make any adjustment) may adversely affect any amounts payable on the Notes. See “Reference Assets—Exchange-Traded Funds—Adjustments Relating to Securities with an Exchange-Traded Fund as a Reference Asset—Anti-dilution Adjustments” in the accompanying prospectus supplement.</w:t>
      </w:r>
      <w:r w:rsidDel="0095565D">
        <w:rPr>
          <w:b/>
          <w:szCs w:val="20"/>
        </w:rPr>
        <w:t xml:space="preserve"> </w:t>
      </w:r>
    </w:p>
    <w:p w:rsidR="0069701C" w:rsidRPr="001479FB" w:rsidRDefault="0069701C" w:rsidP="00F65B92">
      <w:pPr>
        <w:pStyle w:val="Bullet"/>
        <w:numPr>
          <w:ilvl w:val="2"/>
          <w:numId w:val="1"/>
        </w:numPr>
        <w:tabs>
          <w:tab w:val="clear" w:pos="2160"/>
          <w:tab w:val="num" w:pos="720"/>
          <w:tab w:val="num" w:pos="2520"/>
        </w:tabs>
        <w:spacing w:before="60" w:after="60"/>
        <w:ind w:left="360"/>
        <w:contextualSpacing w:val="0"/>
        <w:jc w:val="both"/>
        <w:rPr>
          <w:szCs w:val="20"/>
        </w:rPr>
      </w:pPr>
      <w:r w:rsidRPr="00F65B92">
        <w:rPr>
          <w:b/>
        </w:rPr>
        <w:t>Adjustments to Any Reference Asset or its Underlying Index Could Adversely Affect the Value of the Notes or Result in the Notes Being Accelerated</w:t>
      </w:r>
      <w:r>
        <w:t xml:space="preserve">—The investment adviser of any Reference Asset may add, delete or substitute the component securities held by that Reference Asset or make changes to its investment strategy, and the sponsor of the Underlying Index that any Reference Asset is designed to track may add, delete, substitute or adjust the securities composing such Underlying Index or make other methodological changes to such Underlying Index that could affect its performance. In addition, if the shares of any Reference Asset are delisted or if any Reference Asset is liquidated or otherwise terminated, the Calculation Agent may select a successor fund that the Calculation Agent determines to be comparable to that Reference Asset or, if no successor fund is available, the Maturity Date of the Notes will be accelerated for a payment determined by the Calculation Agent. Any of </w:t>
      </w:r>
      <w:r w:rsidRPr="00F65B92">
        <w:rPr>
          <w:rFonts w:eastAsia="Times New Roman"/>
          <w:szCs w:val="20"/>
        </w:rPr>
        <w:t>these</w:t>
      </w:r>
      <w:r>
        <w:t xml:space="preserve"> actions could adversely affect the value of any Reference Asset and, consequently, the value of the Notes. Any amount payable upon acceleration could be significantly less than the amount(s) that would be due on the securities if they were not accelerated. See “Reference Assets—Exchange-Traded Funds—Adjustments Relating to Securities with an Exchange-Traded Fund as a Reference Asset—Discontinuance of an Exchange-Traded Fund” in the accompanying prospectus supplement.</w:t>
      </w:r>
    </w:p>
    <w:p w:rsidR="000A5FBA" w:rsidRPr="00AD4D79" w:rsidRDefault="000A5FBA" w:rsidP="000A5FBA">
      <w:pPr>
        <w:pStyle w:val="Bullet"/>
        <w:numPr>
          <w:ilvl w:val="2"/>
          <w:numId w:val="1"/>
        </w:numPr>
        <w:tabs>
          <w:tab w:val="clear" w:pos="2160"/>
          <w:tab w:val="num" w:pos="720"/>
          <w:tab w:val="num" w:pos="2520"/>
        </w:tabs>
        <w:spacing w:before="60" w:after="60"/>
        <w:ind w:left="360"/>
        <w:contextualSpacing w:val="0"/>
        <w:jc w:val="both"/>
      </w:pPr>
      <w:r>
        <w:rPr>
          <w:rFonts w:eastAsia="Times New Roman"/>
          <w:b/>
          <w:szCs w:val="20"/>
        </w:rPr>
        <w:t xml:space="preserve">The Notes </w:t>
      </w:r>
      <w:r w:rsidR="00F25B03">
        <w:rPr>
          <w:rFonts w:eastAsia="Times New Roman"/>
          <w:b/>
          <w:szCs w:val="20"/>
        </w:rPr>
        <w:t xml:space="preserve">Are </w:t>
      </w:r>
      <w:r>
        <w:rPr>
          <w:rFonts w:eastAsia="Times New Roman"/>
          <w:b/>
          <w:szCs w:val="20"/>
        </w:rPr>
        <w:t>Subject to Risks Associated with Non</w:t>
      </w:r>
      <w:r w:rsidRPr="005D230D">
        <w:rPr>
          <w:rFonts w:eastAsia="Times New Roman"/>
          <w:szCs w:val="20"/>
        </w:rPr>
        <w:t>-</w:t>
      </w:r>
      <w:r>
        <w:rPr>
          <w:rFonts w:eastAsia="Times New Roman"/>
          <w:b/>
          <w:szCs w:val="20"/>
        </w:rPr>
        <w:t>U</w:t>
      </w:r>
      <w:r w:rsidRPr="005D230D">
        <w:rPr>
          <w:rFonts w:eastAsia="Times New Roman"/>
          <w:szCs w:val="20"/>
        </w:rPr>
        <w:t>.</w:t>
      </w:r>
      <w:r>
        <w:rPr>
          <w:rFonts w:eastAsia="Times New Roman"/>
          <w:b/>
          <w:szCs w:val="20"/>
        </w:rPr>
        <w:t>S</w:t>
      </w:r>
      <w:r w:rsidRPr="005D230D">
        <w:rPr>
          <w:rFonts w:eastAsia="Times New Roman"/>
          <w:szCs w:val="20"/>
        </w:rPr>
        <w:t>.</w:t>
      </w:r>
      <w:r>
        <w:rPr>
          <w:rFonts w:eastAsia="Times New Roman"/>
          <w:b/>
          <w:szCs w:val="20"/>
        </w:rPr>
        <w:t xml:space="preserve"> Securities Markets</w:t>
      </w:r>
      <w:r>
        <w:rPr>
          <w:szCs w:val="20"/>
        </w:rPr>
        <w:t>—</w:t>
      </w:r>
      <w:r w:rsidR="007828DC" w:rsidRPr="007828DC">
        <w:rPr>
          <w:rFonts w:eastAsia="Times New Roman"/>
          <w:szCs w:val="20"/>
        </w:rPr>
        <w:t xml:space="preserve">The </w:t>
      </w:r>
      <w:r w:rsidR="00CC2AF3">
        <w:rPr>
          <w:rFonts w:eastAsia="Times New Roman"/>
          <w:szCs w:val="20"/>
        </w:rPr>
        <w:t>component</w:t>
      </w:r>
      <w:r w:rsidR="00CC2AF3" w:rsidRPr="007828DC">
        <w:rPr>
          <w:rFonts w:eastAsia="Times New Roman"/>
          <w:szCs w:val="20"/>
        </w:rPr>
        <w:t xml:space="preserve"> </w:t>
      </w:r>
      <w:r w:rsidR="007828DC" w:rsidRPr="007828DC">
        <w:rPr>
          <w:rFonts w:eastAsia="Times New Roman"/>
          <w:szCs w:val="20"/>
        </w:rPr>
        <w:t xml:space="preserve">securities </w:t>
      </w:r>
      <w:r w:rsidR="00CC2AF3">
        <w:rPr>
          <w:rFonts w:eastAsia="Times New Roman"/>
          <w:szCs w:val="20"/>
        </w:rPr>
        <w:t>of</w:t>
      </w:r>
      <w:r w:rsidR="007828DC" w:rsidRPr="007828DC">
        <w:rPr>
          <w:rFonts w:eastAsia="Times New Roman"/>
          <w:szCs w:val="20"/>
        </w:rPr>
        <w:t xml:space="preserve"> the </w:t>
      </w:r>
      <w:r w:rsidR="007828DC">
        <w:rPr>
          <w:rFonts w:eastAsia="Times New Roman"/>
          <w:szCs w:val="20"/>
        </w:rPr>
        <w:t>Reference Assets</w:t>
      </w:r>
      <w:r w:rsidR="007828DC" w:rsidRPr="007828DC">
        <w:rPr>
          <w:rFonts w:eastAsia="Times New Roman"/>
          <w:szCs w:val="20"/>
        </w:rPr>
        <w:t xml:space="preserve"> are issued by non-U.S. companies in non-U.S. securities markets. Investments in securities linked to the value of such non-U.S. equity securities, such as the Notes, involve risks associated with the securities markets in the home countries of the issuers of those non-U.S. equity securities, including risks of volatility in those markets, governmental intervention in those markets and cross shareholdings in companies in certain countries. Also, there is generally less publicly available information about companies in some of these jurisdictions than there is about U.S. companies that are subject to the reporting requirements of the SEC, and generally non-U.S. companies are subject to accounting, auditing and financial reporting standards and requirements and securities trading rules different from those applicable to U.S. reporting companies. The prices of securities in non-U.S. markets may be affected by political, economic, financial and social factors in those countries, or global regions, including changes in government, economic and fiscal policies and currency exchange laws.</w:t>
      </w:r>
    </w:p>
    <w:p w:rsidR="00F93E5F" w:rsidRPr="008F20F1" w:rsidRDefault="000A5FBA" w:rsidP="00AD1753">
      <w:pPr>
        <w:pStyle w:val="Bullet"/>
        <w:keepLines/>
        <w:numPr>
          <w:ilvl w:val="2"/>
          <w:numId w:val="1"/>
        </w:numPr>
        <w:tabs>
          <w:tab w:val="clear" w:pos="2160"/>
          <w:tab w:val="num" w:pos="720"/>
          <w:tab w:val="num" w:pos="2520"/>
        </w:tabs>
        <w:spacing w:before="60" w:after="60"/>
        <w:ind w:left="360"/>
        <w:contextualSpacing w:val="0"/>
        <w:jc w:val="both"/>
        <w:rPr>
          <w:rFonts w:asciiTheme="majorBidi" w:hAnsiTheme="majorBidi" w:cstheme="majorBidi"/>
        </w:rPr>
      </w:pPr>
      <w:r w:rsidRPr="00BF2720">
        <w:rPr>
          <w:b/>
          <w:szCs w:val="20"/>
        </w:rPr>
        <w:t xml:space="preserve">The Notes </w:t>
      </w:r>
      <w:r w:rsidR="00F25B03">
        <w:rPr>
          <w:b/>
          <w:szCs w:val="20"/>
        </w:rPr>
        <w:t>A</w:t>
      </w:r>
      <w:r w:rsidR="00F25B03" w:rsidRPr="00BF2720">
        <w:rPr>
          <w:b/>
          <w:szCs w:val="20"/>
        </w:rPr>
        <w:t xml:space="preserve">re </w:t>
      </w:r>
      <w:r w:rsidRPr="00BF2720">
        <w:rPr>
          <w:b/>
          <w:szCs w:val="20"/>
        </w:rPr>
        <w:t>Subject to Currency Exchange Risk</w:t>
      </w:r>
      <w:r>
        <w:rPr>
          <w:szCs w:val="20"/>
        </w:rPr>
        <w:t>—</w:t>
      </w:r>
      <w:r w:rsidR="004006F7" w:rsidRPr="004006F7">
        <w:rPr>
          <w:rFonts w:asciiTheme="majorBidi" w:hAnsiTheme="majorBidi" w:cstheme="majorBidi"/>
        </w:rPr>
        <w:t xml:space="preserve">Because the </w:t>
      </w:r>
      <w:r w:rsidR="00B9325C">
        <w:rPr>
          <w:rFonts w:asciiTheme="majorBidi" w:hAnsiTheme="majorBidi" w:cstheme="majorBidi"/>
        </w:rPr>
        <w:t>value</w:t>
      </w:r>
      <w:r w:rsidR="004006F7" w:rsidRPr="004006F7">
        <w:rPr>
          <w:rFonts w:asciiTheme="majorBidi" w:hAnsiTheme="majorBidi" w:cstheme="majorBidi"/>
        </w:rPr>
        <w:t xml:space="preserve">s of the </w:t>
      </w:r>
      <w:r w:rsidR="004006F7">
        <w:rPr>
          <w:rFonts w:asciiTheme="majorBidi" w:hAnsiTheme="majorBidi" w:cstheme="majorBidi"/>
        </w:rPr>
        <w:t>Reference Assets</w:t>
      </w:r>
      <w:r w:rsidR="004006F7" w:rsidRPr="004006F7">
        <w:rPr>
          <w:rFonts w:asciiTheme="majorBidi" w:hAnsiTheme="majorBidi" w:cstheme="majorBidi"/>
        </w:rPr>
        <w:t xml:space="preserve"> are related to the U.S. dollar value of the component securities held by the </w:t>
      </w:r>
      <w:r w:rsidR="004006F7">
        <w:rPr>
          <w:rFonts w:asciiTheme="majorBidi" w:hAnsiTheme="majorBidi" w:cstheme="majorBidi"/>
        </w:rPr>
        <w:t>Reference Assets</w:t>
      </w:r>
      <w:r w:rsidR="004006F7" w:rsidRPr="004006F7">
        <w:rPr>
          <w:rFonts w:asciiTheme="majorBidi" w:hAnsiTheme="majorBidi" w:cstheme="majorBidi"/>
        </w:rPr>
        <w:t xml:space="preserve">, the </w:t>
      </w:r>
      <w:r w:rsidR="00B9325C">
        <w:rPr>
          <w:rFonts w:asciiTheme="majorBidi" w:hAnsiTheme="majorBidi" w:cstheme="majorBidi"/>
        </w:rPr>
        <w:t>value</w:t>
      </w:r>
      <w:r w:rsidR="004006F7" w:rsidRPr="004006F7">
        <w:rPr>
          <w:rFonts w:asciiTheme="majorBidi" w:hAnsiTheme="majorBidi" w:cstheme="majorBidi"/>
        </w:rPr>
        <w:t xml:space="preserve">s of the </w:t>
      </w:r>
      <w:r w:rsidR="004006F7">
        <w:rPr>
          <w:rFonts w:asciiTheme="majorBidi" w:hAnsiTheme="majorBidi" w:cstheme="majorBidi"/>
        </w:rPr>
        <w:t>Reference Assets</w:t>
      </w:r>
      <w:r w:rsidR="004006F7" w:rsidRPr="004006F7">
        <w:rPr>
          <w:rFonts w:asciiTheme="majorBidi" w:hAnsiTheme="majorBidi" w:cstheme="majorBidi"/>
        </w:rPr>
        <w:t xml:space="preserve"> will be exposed to the currency exchange rate risk with respect to each of the currencies in which the component securities held by the </w:t>
      </w:r>
      <w:r w:rsidR="004006F7">
        <w:rPr>
          <w:rFonts w:asciiTheme="majorBidi" w:hAnsiTheme="majorBidi" w:cstheme="majorBidi"/>
        </w:rPr>
        <w:t>Reference Assets</w:t>
      </w:r>
      <w:r w:rsidR="004006F7" w:rsidRPr="004006F7">
        <w:rPr>
          <w:rFonts w:asciiTheme="majorBidi" w:hAnsiTheme="majorBidi" w:cstheme="majorBidi"/>
        </w:rPr>
        <w:t xml:space="preserve"> trade. An investor’s net exposure will depend on the extent to which each of those non-U.S. currencies strengthens or weakens against the U.S. dollar and the relative weight of the component securities denominated in those non-U.S. currencies. If, taking into account the relevant weighting, the U.S. dollar strengthens against those non-U.S. currencies, the </w:t>
      </w:r>
      <w:r w:rsidR="00B9325C">
        <w:rPr>
          <w:rFonts w:asciiTheme="majorBidi" w:hAnsiTheme="majorBidi" w:cstheme="majorBidi"/>
        </w:rPr>
        <w:t>value</w:t>
      </w:r>
      <w:r w:rsidR="004006F7" w:rsidRPr="004006F7">
        <w:rPr>
          <w:rFonts w:asciiTheme="majorBidi" w:hAnsiTheme="majorBidi" w:cstheme="majorBidi"/>
        </w:rPr>
        <w:t xml:space="preserve">s of the </w:t>
      </w:r>
      <w:r w:rsidR="004006F7">
        <w:rPr>
          <w:rFonts w:asciiTheme="majorBidi" w:hAnsiTheme="majorBidi" w:cstheme="majorBidi"/>
        </w:rPr>
        <w:t>Reference Assets</w:t>
      </w:r>
      <w:r w:rsidR="004006F7" w:rsidRPr="004006F7">
        <w:rPr>
          <w:rFonts w:asciiTheme="majorBidi" w:hAnsiTheme="majorBidi" w:cstheme="majorBidi"/>
        </w:rPr>
        <w:t xml:space="preserve"> will be adversely affected and any payments on the Notes may be reduced.</w:t>
      </w:r>
    </w:p>
    <w:p w:rsidR="00F93E5F" w:rsidRDefault="004006F7">
      <w:pPr>
        <w:pStyle w:val="Bullet"/>
        <w:numPr>
          <w:ilvl w:val="0"/>
          <w:numId w:val="0"/>
        </w:numPr>
        <w:tabs>
          <w:tab w:val="num" w:pos="2520"/>
        </w:tabs>
        <w:spacing w:before="60" w:after="60"/>
        <w:ind w:left="360"/>
        <w:contextualSpacing w:val="0"/>
        <w:jc w:val="both"/>
        <w:rPr>
          <w:rFonts w:asciiTheme="majorBidi" w:hAnsiTheme="majorBidi" w:cstheme="majorBidi"/>
        </w:rPr>
      </w:pPr>
      <w:r w:rsidRPr="004006F7">
        <w:rPr>
          <w:rFonts w:asciiTheme="majorBidi" w:hAnsiTheme="majorBidi" w:cstheme="majorBidi"/>
        </w:rPr>
        <w:t>Exchange rate movements for a particular currency are volatile and are the result of numerous factors, including the supply of, and the demand for, those currencies, as well as government policy, intervention or actions, but are also influenced significantly from time to time by political or economic developments, and by macroeconomic factors and speculative actions related to the relevant region. Of particular importance to potential currency exchange risk are:</w:t>
      </w:r>
    </w:p>
    <w:p w:rsidR="00F93E5F" w:rsidRDefault="0026214B" w:rsidP="00D96A69">
      <w:pPr>
        <w:pStyle w:val="Bullet"/>
        <w:numPr>
          <w:ilvl w:val="2"/>
          <w:numId w:val="1"/>
        </w:numPr>
        <w:tabs>
          <w:tab w:val="clear" w:pos="2160"/>
          <w:tab w:val="num" w:pos="1170"/>
        </w:tabs>
        <w:spacing w:before="60" w:after="60"/>
        <w:ind w:left="1170"/>
        <w:contextualSpacing w:val="0"/>
        <w:jc w:val="both"/>
        <w:rPr>
          <w:rFonts w:asciiTheme="majorBidi" w:hAnsiTheme="majorBidi" w:cstheme="majorBidi"/>
        </w:rPr>
      </w:pPr>
      <w:r w:rsidRPr="0026214B">
        <w:t>existing</w:t>
      </w:r>
      <w:r w:rsidR="00097826">
        <w:rPr>
          <w:rFonts w:asciiTheme="majorBidi" w:hAnsiTheme="majorBidi" w:cstheme="majorBidi"/>
        </w:rPr>
        <w:t xml:space="preserve"> </w:t>
      </w:r>
      <w:r w:rsidR="004006F7" w:rsidRPr="004006F7">
        <w:rPr>
          <w:rFonts w:asciiTheme="majorBidi" w:hAnsiTheme="majorBidi" w:cstheme="majorBidi"/>
        </w:rPr>
        <w:t>and expected rates of inflation;</w:t>
      </w:r>
    </w:p>
    <w:p w:rsidR="00F93E5F" w:rsidRDefault="0026214B" w:rsidP="00D96A69">
      <w:pPr>
        <w:pStyle w:val="Bullet"/>
        <w:numPr>
          <w:ilvl w:val="2"/>
          <w:numId w:val="1"/>
        </w:numPr>
        <w:tabs>
          <w:tab w:val="clear" w:pos="2160"/>
          <w:tab w:val="num" w:pos="1170"/>
        </w:tabs>
        <w:spacing w:before="60" w:after="60"/>
        <w:ind w:left="1170"/>
        <w:contextualSpacing w:val="0"/>
        <w:jc w:val="both"/>
        <w:rPr>
          <w:rFonts w:asciiTheme="majorBidi" w:hAnsiTheme="majorBidi" w:cstheme="majorBidi"/>
        </w:rPr>
      </w:pPr>
      <w:r w:rsidRPr="0026214B">
        <w:t>existing</w:t>
      </w:r>
      <w:r w:rsidR="00097826">
        <w:rPr>
          <w:rFonts w:asciiTheme="majorBidi" w:hAnsiTheme="majorBidi" w:cstheme="majorBidi"/>
        </w:rPr>
        <w:t xml:space="preserve"> and</w:t>
      </w:r>
      <w:r w:rsidR="004006F7" w:rsidRPr="004006F7">
        <w:rPr>
          <w:rFonts w:asciiTheme="majorBidi" w:hAnsiTheme="majorBidi" w:cstheme="majorBidi"/>
        </w:rPr>
        <w:t xml:space="preserve"> expected interest rate levels;</w:t>
      </w:r>
    </w:p>
    <w:p w:rsidR="00F93E5F" w:rsidRDefault="004006F7" w:rsidP="00D96A69">
      <w:pPr>
        <w:pStyle w:val="Bullet"/>
        <w:numPr>
          <w:ilvl w:val="2"/>
          <w:numId w:val="1"/>
        </w:numPr>
        <w:tabs>
          <w:tab w:val="clear" w:pos="2160"/>
          <w:tab w:val="num" w:pos="1170"/>
        </w:tabs>
        <w:spacing w:before="60" w:after="60"/>
        <w:ind w:left="1170"/>
        <w:contextualSpacing w:val="0"/>
        <w:jc w:val="both"/>
        <w:rPr>
          <w:rFonts w:asciiTheme="majorBidi" w:hAnsiTheme="majorBidi" w:cstheme="majorBidi"/>
        </w:rPr>
      </w:pPr>
      <w:r w:rsidRPr="004006F7">
        <w:rPr>
          <w:rFonts w:asciiTheme="majorBidi" w:hAnsiTheme="majorBidi" w:cstheme="majorBidi"/>
        </w:rPr>
        <w:t xml:space="preserve">the balance of payments between the countries represented in the </w:t>
      </w:r>
      <w:r>
        <w:rPr>
          <w:rFonts w:asciiTheme="majorBidi" w:hAnsiTheme="majorBidi" w:cstheme="majorBidi"/>
        </w:rPr>
        <w:t>Reference Assets</w:t>
      </w:r>
      <w:r w:rsidRPr="004006F7">
        <w:rPr>
          <w:rFonts w:asciiTheme="majorBidi" w:hAnsiTheme="majorBidi" w:cstheme="majorBidi"/>
        </w:rPr>
        <w:t xml:space="preserve"> and the United States; </w:t>
      </w:r>
      <w:r>
        <w:rPr>
          <w:rFonts w:asciiTheme="majorBidi" w:hAnsiTheme="majorBidi" w:cstheme="majorBidi"/>
        </w:rPr>
        <w:t>and</w:t>
      </w:r>
    </w:p>
    <w:p w:rsidR="00F93E5F" w:rsidRDefault="004006F7" w:rsidP="00D96A69">
      <w:pPr>
        <w:pStyle w:val="Bullet"/>
        <w:numPr>
          <w:ilvl w:val="2"/>
          <w:numId w:val="1"/>
        </w:numPr>
        <w:tabs>
          <w:tab w:val="clear" w:pos="2160"/>
          <w:tab w:val="num" w:pos="1170"/>
        </w:tabs>
        <w:spacing w:before="60" w:after="60"/>
        <w:ind w:left="1170"/>
        <w:contextualSpacing w:val="0"/>
        <w:jc w:val="both"/>
        <w:rPr>
          <w:rFonts w:asciiTheme="majorBidi" w:hAnsiTheme="majorBidi" w:cstheme="majorBidi"/>
        </w:rPr>
      </w:pPr>
      <w:r w:rsidRPr="004006F7">
        <w:rPr>
          <w:rFonts w:asciiTheme="majorBidi" w:hAnsiTheme="majorBidi" w:cstheme="majorBidi"/>
        </w:rPr>
        <w:t xml:space="preserve">the extent of governmental surpluses or deficits in the countries represented in the </w:t>
      </w:r>
      <w:r>
        <w:rPr>
          <w:rFonts w:asciiTheme="majorBidi" w:hAnsiTheme="majorBidi" w:cstheme="majorBidi"/>
        </w:rPr>
        <w:t>Reference Assets</w:t>
      </w:r>
      <w:r w:rsidRPr="004006F7">
        <w:rPr>
          <w:rFonts w:asciiTheme="majorBidi" w:hAnsiTheme="majorBidi" w:cstheme="majorBidi"/>
        </w:rPr>
        <w:t xml:space="preserve"> and the United States.</w:t>
      </w:r>
    </w:p>
    <w:p w:rsidR="00F93E5F" w:rsidRDefault="004006F7" w:rsidP="00125597">
      <w:pPr>
        <w:pStyle w:val="Bullet"/>
        <w:numPr>
          <w:ilvl w:val="0"/>
          <w:numId w:val="0"/>
        </w:numPr>
        <w:tabs>
          <w:tab w:val="num" w:pos="2520"/>
        </w:tabs>
        <w:spacing w:before="60" w:after="60"/>
        <w:ind w:left="360"/>
        <w:contextualSpacing w:val="0"/>
        <w:jc w:val="both"/>
        <w:rPr>
          <w:rFonts w:asciiTheme="majorBidi" w:hAnsiTheme="majorBidi" w:cstheme="majorBidi"/>
        </w:rPr>
      </w:pPr>
      <w:r w:rsidRPr="004006F7">
        <w:rPr>
          <w:rFonts w:asciiTheme="majorBidi" w:hAnsiTheme="majorBidi" w:cstheme="majorBidi"/>
        </w:rPr>
        <w:t xml:space="preserve">All of these factors are in turn sensitive to the monetary, fiscal and trade policies pursued by the governments of the countries represented in the </w:t>
      </w:r>
      <w:r>
        <w:rPr>
          <w:rFonts w:asciiTheme="majorBidi" w:hAnsiTheme="majorBidi" w:cstheme="majorBidi"/>
        </w:rPr>
        <w:t>Reference Assets</w:t>
      </w:r>
      <w:r w:rsidRPr="004006F7">
        <w:rPr>
          <w:rFonts w:asciiTheme="majorBidi" w:hAnsiTheme="majorBidi" w:cstheme="majorBidi"/>
        </w:rPr>
        <w:t>, the United States and other countries important to international trade and finance.</w:t>
      </w:r>
    </w:p>
    <w:p w:rsidR="00F93E5F" w:rsidRDefault="000A5FBA" w:rsidP="00125597">
      <w:pPr>
        <w:pStyle w:val="Bullet"/>
        <w:numPr>
          <w:ilvl w:val="2"/>
          <w:numId w:val="1"/>
        </w:numPr>
        <w:tabs>
          <w:tab w:val="clear" w:pos="2160"/>
          <w:tab w:val="num" w:pos="720"/>
          <w:tab w:val="num" w:pos="2520"/>
        </w:tabs>
        <w:spacing w:before="60" w:after="60"/>
        <w:ind w:left="360"/>
        <w:jc w:val="both"/>
      </w:pPr>
      <w:r>
        <w:rPr>
          <w:b/>
          <w:szCs w:val="20"/>
        </w:rPr>
        <w:t xml:space="preserve">The Notes </w:t>
      </w:r>
      <w:r w:rsidR="00F25B03">
        <w:rPr>
          <w:b/>
          <w:szCs w:val="20"/>
        </w:rPr>
        <w:t xml:space="preserve">Are </w:t>
      </w:r>
      <w:r>
        <w:rPr>
          <w:b/>
          <w:szCs w:val="20"/>
        </w:rPr>
        <w:t xml:space="preserve">Subject to </w:t>
      </w:r>
      <w:r w:rsidRPr="00D85153">
        <w:rPr>
          <w:b/>
          <w:szCs w:val="20"/>
        </w:rPr>
        <w:t>Risks Associated with Emerging Markets</w:t>
      </w:r>
      <w:r w:rsidRPr="009A789F">
        <w:rPr>
          <w:bCs/>
          <w:szCs w:val="20"/>
          <w:lang w:eastAsia="en-US"/>
        </w:rPr>
        <w:t>—</w:t>
      </w:r>
      <w:r w:rsidR="00624C33">
        <w:t xml:space="preserve">The component securities held by the </w:t>
      </w:r>
      <w:r w:rsidR="00E40B31">
        <w:t>EEM Fund</w:t>
      </w:r>
      <w:r w:rsidR="00624C33">
        <w:t xml:space="preserve"> have been issued by non-U.S. companies located in emerging market countries. Emerging markets pose further risks in addition to the risks associated with investing in foreign equity markets generally, as described in the previous risk factor. Countries with emerging markets may have relatively unstable governments, may present the risks of nationalization of businesses, restrictions on foreign ownership and prohibitions on the repatriation of assets, and may have less protection of property rights than more developed countries. The economies of countries with emerging markets may be based on only a few industries, may be highly vulnerable to changes in local or global trade conditions, and may suffer from extreme and volatile debt burdens or inflation rates. Local securities markets may trade a small number of securities and may be unable to respond effectively to increases in trading volume, potentially making prompt liquidation of holdings difficult or impossible at times. Moreover, the economies in such countries may differ unfavorably from the economy in the United States in such respects as growth of gross national product, rate of inflation, capital reinvestment, resources, self-sufficiency and balance of payment positions.</w:t>
      </w:r>
    </w:p>
    <w:p w:rsidR="00F93E5F" w:rsidRDefault="00624C33">
      <w:pPr>
        <w:pStyle w:val="Bullet"/>
        <w:numPr>
          <w:ilvl w:val="0"/>
          <w:numId w:val="0"/>
        </w:numPr>
        <w:tabs>
          <w:tab w:val="num" w:pos="2520"/>
        </w:tabs>
        <w:spacing w:before="60" w:after="60"/>
        <w:ind w:left="360"/>
        <w:contextualSpacing w:val="0"/>
        <w:jc w:val="both"/>
      </w:pPr>
      <w:r>
        <w:t xml:space="preserve">Beginning in June 2018, the component securities held by the </w:t>
      </w:r>
      <w:r w:rsidR="00E40B31">
        <w:t>EEM Fund</w:t>
      </w:r>
      <w:r>
        <w:t xml:space="preserve"> include equity securities that are traded on mainland Chinese exchanges (as distinct from exchanges in Hong Kong). Shares traded on mainland Chinese exchanges, referred to as A-shares, are subject to regulation by Chinese authorities, including regulations that limit the amount of shares of equity securities that may be held by foreign investors. These regulations may adversely affect the price of A-shares. Trading in A-shares may be less liquid and subject to greater volatility, including as a result of actions by the Chinese government, than trading on international exchanges outside of mainland China.</w:t>
      </w:r>
    </w:p>
    <w:p w:rsidR="00056A1B" w:rsidRDefault="00C31C70" w:rsidP="0010195C">
      <w:pPr>
        <w:pStyle w:val="Bullet"/>
        <w:numPr>
          <w:ilvl w:val="2"/>
          <w:numId w:val="1"/>
        </w:numPr>
        <w:tabs>
          <w:tab w:val="clear" w:pos="2160"/>
          <w:tab w:val="num" w:pos="720"/>
          <w:tab w:val="num" w:pos="2520"/>
        </w:tabs>
        <w:spacing w:before="60" w:after="60"/>
        <w:ind w:left="360"/>
        <w:contextualSpacing w:val="0"/>
        <w:jc w:val="both"/>
      </w:pPr>
      <w:r w:rsidRPr="00A4740C">
        <w:rPr>
          <w:b/>
        </w:rPr>
        <w:t xml:space="preserve">The Estimated Value of Your Notes is Expected to </w:t>
      </w:r>
      <w:r>
        <w:rPr>
          <w:b/>
        </w:rPr>
        <w:t>be Lower Than the Initial Issue Price of Your Notes</w:t>
      </w:r>
      <w:r>
        <w:t>—</w:t>
      </w:r>
      <w:r w:rsidRPr="00A4740C">
        <w:rPr>
          <w:szCs w:val="20"/>
        </w:rPr>
        <w:t>The estimated value of your Notes on the Initial Valuation Date is expected to be lower, and may be significantly lower, than the ini</w:t>
      </w:r>
      <w:r w:rsidR="00C23812">
        <w:rPr>
          <w:szCs w:val="20"/>
        </w:rPr>
        <w:t>tial issue price of your Notes.</w:t>
      </w:r>
      <w:r w:rsidRPr="00A4740C">
        <w:rPr>
          <w:szCs w:val="20"/>
        </w:rPr>
        <w:t xml:space="preserve"> The difference between the initial issue price of your Notes and the estimated value of the Notes is a result of certain factors, such as any sales commissions to be paid to Barclays Capital Inc. or another affiliate of ours, any selling concessions, discounts, commissions or fees </w:t>
      </w:r>
      <w:r w:rsidR="00366266">
        <w:rPr>
          <w:szCs w:val="20"/>
        </w:rPr>
        <w:t>(including any structuring or other distribution related fees)</w:t>
      </w:r>
      <w:r w:rsidR="00366266" w:rsidRPr="00A4740C">
        <w:rPr>
          <w:szCs w:val="20"/>
        </w:rPr>
        <w:t xml:space="preserve"> </w:t>
      </w:r>
      <w:r w:rsidRPr="00A4740C">
        <w:rPr>
          <w:szCs w:val="20"/>
        </w:rPr>
        <w:t xml:space="preserve">to be allowed or paid to non-affiliated intermediaries, the estimated profit that we or any of our affiliates expect to earn in connection with structuring the Notes, the estimated cost which </w:t>
      </w:r>
      <w:r w:rsidRPr="008E6B45">
        <w:t>we</w:t>
      </w:r>
      <w:r w:rsidRPr="00A4740C">
        <w:rPr>
          <w:szCs w:val="20"/>
        </w:rPr>
        <w:t xml:space="preserve"> may incur in hedging our obligations under the Notes, and estimated development and other costs which we may incur in connection with the Notes</w:t>
      </w:r>
      <w:r w:rsidR="00C23812">
        <w:t>.</w:t>
      </w:r>
    </w:p>
    <w:p w:rsidR="0032085C" w:rsidRDefault="000A7489">
      <w:pPr>
        <w:pStyle w:val="Bullet"/>
        <w:keepLines/>
        <w:numPr>
          <w:ilvl w:val="2"/>
          <w:numId w:val="1"/>
        </w:numPr>
        <w:tabs>
          <w:tab w:val="clear" w:pos="2160"/>
          <w:tab w:val="num" w:pos="720"/>
          <w:tab w:val="num" w:pos="2520"/>
        </w:tabs>
        <w:spacing w:before="60" w:after="60"/>
        <w:ind w:left="360"/>
        <w:contextualSpacing w:val="0"/>
        <w:jc w:val="both"/>
      </w:pPr>
      <w:r>
        <w:rPr>
          <w:b/>
        </w:rPr>
        <w:t xml:space="preserve">The Estimated Value of Your Notes Might be Lower if Such Estimated Value Were Based on the Levels at Which Our Debt </w:t>
      </w:r>
      <w:r w:rsidR="005A4DBF" w:rsidRPr="00E6789B">
        <w:rPr>
          <w:b/>
        </w:rPr>
        <w:t>Securities</w:t>
      </w:r>
      <w:r w:rsidRPr="00E6789B">
        <w:rPr>
          <w:b/>
        </w:rPr>
        <w:t xml:space="preserve"> </w:t>
      </w:r>
      <w:r>
        <w:rPr>
          <w:b/>
        </w:rPr>
        <w:t>Trade in the Secondary Market</w:t>
      </w:r>
      <w:r>
        <w:t>—The estimated value of your Notes on the Initial Valuation Date is based on a number of variables, including our in</w:t>
      </w:r>
      <w:r w:rsidR="00C23812">
        <w:t>ternal funding rates.</w:t>
      </w:r>
      <w:r>
        <w:t xml:space="preserve"> Our internal funding rates may vary from the levels at which our benchmark debt securities</w:t>
      </w:r>
      <w:r w:rsidR="00C23812">
        <w:t xml:space="preserve"> trade in the secondary market.</w:t>
      </w:r>
      <w:r>
        <w:t xml:space="preserve"> As a result of this difference, the estimated value referenced above </w:t>
      </w:r>
      <w:r w:rsidR="00C31C70">
        <w:t xml:space="preserve">might </w:t>
      </w:r>
      <w:r>
        <w:t>be lower if such estimated value were based on the levels at which our benchmark debt securities trade in the secondary market.</w:t>
      </w:r>
    </w:p>
    <w:p w:rsidR="00056A1B" w:rsidRDefault="000A7489" w:rsidP="0010195C">
      <w:pPr>
        <w:pStyle w:val="Bullet"/>
        <w:numPr>
          <w:ilvl w:val="2"/>
          <w:numId w:val="1"/>
        </w:numPr>
        <w:tabs>
          <w:tab w:val="clear" w:pos="2160"/>
          <w:tab w:val="num" w:pos="720"/>
          <w:tab w:val="num" w:pos="2520"/>
        </w:tabs>
        <w:spacing w:before="60" w:after="60"/>
        <w:ind w:left="360"/>
        <w:contextualSpacing w:val="0"/>
        <w:jc w:val="both"/>
      </w:pPr>
      <w:r>
        <w:rPr>
          <w:b/>
        </w:rPr>
        <w:t>The Estimated Value of the Notes is Based on Our Internal Pricing Models</w:t>
      </w:r>
      <w:r w:rsidRPr="00C23812">
        <w:t>,</w:t>
      </w:r>
      <w:r>
        <w:rPr>
          <w:b/>
        </w:rPr>
        <w:t xml:space="preserve"> Which May Prove to be Inaccurate and May be Different from the Pricing Models of Other Financial Institutions</w:t>
      </w:r>
      <w:r>
        <w:t>—The estimated value of your Notes on the Initial Valuation Date is based on our internal pricing models, which take into account a number of variables and are based on a number of subjective assumptions, which may or may not material</w:t>
      </w:r>
      <w:r w:rsidR="00C23812">
        <w:t>ize.</w:t>
      </w:r>
      <w:r>
        <w:t xml:space="preserve"> These variables and assumptions are not evaluated or verified on an independent basis. Further, our pricing models may be different from other financial institutions’ pricing models and the methodologies used by us to estimate the value of the Notes may not be consistent with those of other financial institutions which may be purchasers or sellers of</w:t>
      </w:r>
      <w:r w:rsidR="00C23812">
        <w:t xml:space="preserve"> Notes in the secondary market.</w:t>
      </w:r>
      <w:r>
        <w:t xml:space="preserve"> As a result, the secondary market price of your Notes may be materially different from the estimated value of the Notes determined by reference to our internal pricing models.</w:t>
      </w:r>
    </w:p>
    <w:p w:rsidR="00056A1B" w:rsidRDefault="000A7489" w:rsidP="00AD1753">
      <w:pPr>
        <w:pStyle w:val="Bullet"/>
        <w:keepLines/>
        <w:numPr>
          <w:ilvl w:val="2"/>
          <w:numId w:val="1"/>
        </w:numPr>
        <w:tabs>
          <w:tab w:val="clear" w:pos="2160"/>
          <w:tab w:val="num" w:pos="720"/>
          <w:tab w:val="num" w:pos="2520"/>
        </w:tabs>
        <w:spacing w:before="60" w:after="60"/>
        <w:ind w:left="360"/>
        <w:contextualSpacing w:val="0"/>
        <w:jc w:val="both"/>
      </w:pPr>
      <w:r>
        <w:rPr>
          <w:b/>
        </w:rPr>
        <w:t>The Estimated Value of Your Notes Is Not a Prediction of the Prices at Which You May Sell Your Notes in the Secondary Market</w:t>
      </w:r>
      <w:r w:rsidRPr="0010195C">
        <w:t>,</w:t>
      </w:r>
      <w:r>
        <w:rPr>
          <w:b/>
        </w:rPr>
        <w:t xml:space="preserve"> if any</w:t>
      </w:r>
      <w:r w:rsidRPr="0010195C">
        <w:t>,</w:t>
      </w:r>
      <w:r>
        <w:rPr>
          <w:b/>
        </w:rPr>
        <w:t xml:space="preserve"> and Such Secondary Market Prices</w:t>
      </w:r>
      <w:r w:rsidRPr="0010195C">
        <w:t>,</w:t>
      </w:r>
      <w:r>
        <w:rPr>
          <w:b/>
        </w:rPr>
        <w:t xml:space="preserve"> If Any</w:t>
      </w:r>
      <w:r w:rsidRPr="0010195C">
        <w:t>,</w:t>
      </w:r>
      <w:r>
        <w:rPr>
          <w:b/>
        </w:rPr>
        <w:t xml:space="preserve"> Will Likely be Lower Than the Initial Issue Price of Your Notes and May</w:t>
      </w:r>
      <w:r w:rsidR="006E1B2A">
        <w:rPr>
          <w:b/>
        </w:rPr>
        <w:t xml:space="preserve"> </w:t>
      </w:r>
      <w:r>
        <w:rPr>
          <w:b/>
        </w:rPr>
        <w:t>be Lower Than the Estimated Value of Your Notes</w:t>
      </w:r>
      <w:r>
        <w:t>—The estimated value of the Notes will not be a prediction of the prices at which Barclays Capital Inc., other affiliates of ours or third parties may be willing to purchase the Notes from you in secondary market transactions (if they are willing to purchase, which</w:t>
      </w:r>
      <w:r w:rsidR="0010195C">
        <w:t xml:space="preserve"> they are not obligated to do).</w:t>
      </w:r>
      <w:r>
        <w:t xml:space="preserve"> The price at which you may be able to sell your Notes in the secondary market at any time will be influenced by many factors that cannot be predicted, such as market conditions, and any bid and ask spread for similar sized trades, and may be substantially less than ou</w:t>
      </w:r>
      <w:r w:rsidR="0010195C">
        <w:t>r estimated value of the Notes.</w:t>
      </w:r>
      <w:r>
        <w:t xml:space="preserve"> Further, as secondary market prices of your Notes take into account the levels at which our debt securities trade in the secondary market, and do not take into account our various costs related to the Notes such as fees, commissions, discounts, and the costs of hedging our obligations under the Notes, secondary market prices of your Notes will likely be lower than the ini</w:t>
      </w:r>
      <w:r w:rsidR="0010195C">
        <w:t>tial issue price of your Notes.</w:t>
      </w:r>
      <w:r>
        <w:t xml:space="preserve"> As a result, the price at which Barclays Capital Inc., other affiliates of ours or third parties may be willing to purchase the Notes from you in secondary market transactions, if any, will likely be lower than the price you paid for your Notes, and any sale prior to the </w:t>
      </w:r>
      <w:r w:rsidR="00BF3A59">
        <w:t xml:space="preserve">Maturity Date </w:t>
      </w:r>
      <w:r>
        <w:t>could result in a substantial loss to you.</w:t>
      </w:r>
    </w:p>
    <w:p w:rsidR="00056A1B" w:rsidRDefault="000A7489" w:rsidP="00C67381">
      <w:pPr>
        <w:pStyle w:val="Bullet"/>
        <w:keepLines/>
        <w:numPr>
          <w:ilvl w:val="2"/>
          <w:numId w:val="1"/>
        </w:numPr>
        <w:tabs>
          <w:tab w:val="clear" w:pos="2160"/>
          <w:tab w:val="num" w:pos="720"/>
          <w:tab w:val="num" w:pos="2520"/>
        </w:tabs>
        <w:spacing w:before="60" w:after="60"/>
        <w:ind w:left="360"/>
        <w:contextualSpacing w:val="0"/>
        <w:jc w:val="both"/>
      </w:pPr>
      <w:r>
        <w:rPr>
          <w:b/>
        </w:rPr>
        <w:t>The Temporary Price at Which We May Initially Buy The Notes in the Secondary Market And the Value We May Initially Use for Customer Account Statements</w:t>
      </w:r>
      <w:r w:rsidRPr="0010195C">
        <w:t>,</w:t>
      </w:r>
      <w:r>
        <w:rPr>
          <w:b/>
        </w:rPr>
        <w:t xml:space="preserve"> If We Provide Any Customer Account Statements At All</w:t>
      </w:r>
      <w:r w:rsidRPr="0010195C">
        <w:t>,</w:t>
      </w:r>
      <w:r>
        <w:rPr>
          <w:b/>
        </w:rPr>
        <w:t xml:space="preserve"> May Not Be Indicative of Future Prices of Your Notes</w:t>
      </w:r>
      <w:r>
        <w:t>—Assuming that all relevant factors remain constant after the Initial Valuation Date, the price at which Barclays Capital Inc. may initially buy or sell the Notes in the secondary market (if Barclays Capital Inc. makes a market in the Notes, which it is not obligated to do) and the value that we may initially use for customer account statements, if we provide any customer account statements at all, may exceed our estimated value of the Notes on the Initial Valuation Date, as well as the secondary market value of the Notes, for a temporary period after the i</w:t>
      </w:r>
      <w:r w:rsidR="0010195C">
        <w:t xml:space="preserve">nitial </w:t>
      </w:r>
      <w:r w:rsidR="00BF3A59">
        <w:t xml:space="preserve">Issue Date </w:t>
      </w:r>
      <w:r w:rsidR="0010195C">
        <w:t>of the Notes.</w:t>
      </w:r>
      <w:r>
        <w:t xml:space="preserve"> The price at which Barclays Capital Inc. may initially buy or sell the Notes in the secondary market and the value that we may initially use for customer account statements may not be indicative of future prices of your Notes.</w:t>
      </w:r>
    </w:p>
    <w:p w:rsidR="00A8443B" w:rsidRDefault="001411ED" w:rsidP="0010195C">
      <w:pPr>
        <w:pStyle w:val="Bullet"/>
        <w:tabs>
          <w:tab w:val="clear" w:pos="720"/>
          <w:tab w:val="num" w:pos="360"/>
        </w:tabs>
        <w:spacing w:before="60" w:after="60"/>
        <w:ind w:left="360"/>
        <w:contextualSpacing w:val="0"/>
        <w:jc w:val="both"/>
      </w:pPr>
      <w:bookmarkStart w:id="5" w:name="_cp_text_1_10"/>
      <w:r w:rsidRPr="001411ED">
        <w:rPr>
          <w:b/>
        </w:rPr>
        <w:t>We and Our Affiliates</w:t>
      </w:r>
      <w:bookmarkStart w:id="6" w:name="_cp_text_1_2"/>
      <w:bookmarkEnd w:id="5"/>
      <w:bookmarkEnd w:id="6"/>
      <w:r w:rsidRPr="001411ED">
        <w:rPr>
          <w:b/>
        </w:rPr>
        <w:t xml:space="preserve"> </w:t>
      </w:r>
      <w:bookmarkStart w:id="7" w:name="_cp_text_28_3"/>
      <w:bookmarkEnd w:id="7"/>
      <w:r w:rsidRPr="001411ED">
        <w:rPr>
          <w:b/>
        </w:rPr>
        <w:t xml:space="preserve">May Engage in Various Activities or Make Determinations That Could Materially Affect </w:t>
      </w:r>
      <w:bookmarkStart w:id="8" w:name="_cp_text_1_6"/>
      <w:r w:rsidRPr="001411ED">
        <w:rPr>
          <w:b/>
        </w:rPr>
        <w:t xml:space="preserve">the Notes </w:t>
      </w:r>
      <w:bookmarkEnd w:id="8"/>
      <w:r w:rsidRPr="001411ED">
        <w:rPr>
          <w:b/>
        </w:rPr>
        <w:t xml:space="preserve">in Various Ways </w:t>
      </w:r>
      <w:bookmarkStart w:id="9" w:name="_cp_text_1_9"/>
      <w:r w:rsidRPr="001411ED">
        <w:rPr>
          <w:b/>
        </w:rPr>
        <w:t>and Create Conflicts of Interest</w:t>
      </w:r>
      <w:bookmarkEnd w:id="9"/>
      <w:r w:rsidRPr="009A789F">
        <w:t>—</w:t>
      </w:r>
      <w:r w:rsidR="00236DB7">
        <w:t>W</w:t>
      </w:r>
      <w:r w:rsidR="00D352D0" w:rsidRPr="00D352D0">
        <w:t>e</w:t>
      </w:r>
      <w:r w:rsidR="00220914" w:rsidRPr="00F0714C">
        <w:t xml:space="preserve"> and our affiliates play a variety of roles in connection with the issuance of the Notes, as described below. In performing these roles, our and our affiliates’ economic interests are potentially adverse to your interests as an investor in the Notes.</w:t>
      </w:r>
    </w:p>
    <w:p w:rsidR="00220914" w:rsidRDefault="00380638" w:rsidP="0010195C">
      <w:pPr>
        <w:pStyle w:val="ListParagraph"/>
        <w:spacing w:before="60" w:after="60"/>
        <w:ind w:left="360"/>
        <w:jc w:val="both"/>
        <w:rPr>
          <w:szCs w:val="20"/>
        </w:rPr>
      </w:pPr>
      <w:bookmarkStart w:id="10" w:name="_cp_text_4_11"/>
      <w:r w:rsidRPr="000E3CB0">
        <w:rPr>
          <w:szCs w:val="20"/>
        </w:rPr>
        <w:t xml:space="preserve">In connection with our normal business activities and in connection with hedging our obligations under the </w:t>
      </w:r>
      <w:r>
        <w:rPr>
          <w:szCs w:val="20"/>
        </w:rPr>
        <w:t>Notes</w:t>
      </w:r>
      <w:r w:rsidRPr="000E3CB0">
        <w:rPr>
          <w:szCs w:val="20"/>
        </w:rPr>
        <w:t xml:space="preserve">, </w:t>
      </w:r>
      <w:r>
        <w:rPr>
          <w:szCs w:val="20"/>
        </w:rPr>
        <w:t>we</w:t>
      </w:r>
      <w:r w:rsidR="00220914" w:rsidRPr="00F0714C">
        <w:rPr>
          <w:szCs w:val="20"/>
        </w:rPr>
        <w:t xml:space="preserve"> and our affiliates </w:t>
      </w:r>
      <w:bookmarkEnd w:id="10"/>
      <w:r w:rsidR="00220914" w:rsidRPr="00F0714C">
        <w:rPr>
          <w:szCs w:val="20"/>
        </w:rPr>
        <w:t xml:space="preserve">make markets in and trade various financial instruments or products for our accounts and for the account of our clients and otherwise provide investment banking and other financial services with respect to these financial instruments and products. These financial instruments and products may include securities, derivative instruments or assets that may relate to the </w:t>
      </w:r>
      <w:r w:rsidR="005360DA">
        <w:rPr>
          <w:szCs w:val="20"/>
        </w:rPr>
        <w:t>Reference Assets</w:t>
      </w:r>
      <w:r w:rsidR="00F44285">
        <w:rPr>
          <w:szCs w:val="20"/>
        </w:rPr>
        <w:t xml:space="preserve"> or </w:t>
      </w:r>
      <w:r w:rsidR="00512051">
        <w:rPr>
          <w:szCs w:val="20"/>
        </w:rPr>
        <w:t xml:space="preserve">their </w:t>
      </w:r>
      <w:r w:rsidR="000A5FBA">
        <w:rPr>
          <w:szCs w:val="20"/>
        </w:rPr>
        <w:t>components</w:t>
      </w:r>
      <w:r w:rsidR="00CC2AF3">
        <w:rPr>
          <w:szCs w:val="20"/>
        </w:rPr>
        <w:t>, if any</w:t>
      </w:r>
      <w:r w:rsidR="00220914" w:rsidRPr="00F0714C">
        <w:rPr>
          <w:szCs w:val="20"/>
        </w:rPr>
        <w:t xml:space="preserve">. In any such market making, trading and hedging activity, and other </w:t>
      </w:r>
      <w:r w:rsidR="00BF3A59">
        <w:rPr>
          <w:szCs w:val="20"/>
        </w:rPr>
        <w:t xml:space="preserve">financial </w:t>
      </w:r>
      <w:r w:rsidR="00220914" w:rsidRPr="00F0714C">
        <w:rPr>
          <w:szCs w:val="20"/>
        </w:rPr>
        <w:t xml:space="preserve">services, we or our affiliates may take positions or take actions that are inconsistent with, or adverse to, the investment objectives of </w:t>
      </w:r>
      <w:r w:rsidR="00BF3A59">
        <w:rPr>
          <w:szCs w:val="20"/>
        </w:rPr>
        <w:t xml:space="preserve">the </w:t>
      </w:r>
      <w:r w:rsidR="00220914" w:rsidRPr="00F0714C">
        <w:rPr>
          <w:szCs w:val="20"/>
        </w:rPr>
        <w:t>holders of the Notes. We and our affiliates have no obligation to take the needs of any buyer, seller or holder of the Notes</w:t>
      </w:r>
      <w:bookmarkStart w:id="11" w:name="_cp_text_1_26"/>
      <w:r w:rsidR="00220914" w:rsidRPr="00F0714C">
        <w:rPr>
          <w:szCs w:val="20"/>
        </w:rPr>
        <w:t xml:space="preserve"> </w:t>
      </w:r>
      <w:bookmarkEnd w:id="11"/>
      <w:r w:rsidR="00220914" w:rsidRPr="00F0714C">
        <w:rPr>
          <w:szCs w:val="20"/>
        </w:rPr>
        <w:t>into account in conducting these activities. Such market making, trading and hedging activity, investment banking and other financial services may negatively impact the value of the No</w:t>
      </w:r>
      <w:r w:rsidR="0010195C">
        <w:rPr>
          <w:szCs w:val="20"/>
        </w:rPr>
        <w:t>tes.</w:t>
      </w:r>
    </w:p>
    <w:p w:rsidR="00220914" w:rsidRDefault="00220914" w:rsidP="0010195C">
      <w:pPr>
        <w:pStyle w:val="ListParagraph"/>
        <w:spacing w:before="60" w:after="60"/>
        <w:ind w:left="360"/>
        <w:jc w:val="both"/>
        <w:rPr>
          <w:szCs w:val="20"/>
        </w:rPr>
      </w:pPr>
      <w:bookmarkStart w:id="12" w:name="_cp_text_1_32"/>
      <w:r w:rsidRPr="00F0714C">
        <w:rPr>
          <w:szCs w:val="20"/>
        </w:rPr>
        <w:t>In addition</w:t>
      </w:r>
      <w:bookmarkEnd w:id="12"/>
      <w:r w:rsidRPr="00F0714C">
        <w:rPr>
          <w:szCs w:val="20"/>
        </w:rPr>
        <w:t>, the role played by Barclays Capital Inc., as the agent for the Notes, could present significant conflicts of interest with the role of Barclays Ba</w:t>
      </w:r>
      <w:r w:rsidR="0010195C">
        <w:rPr>
          <w:szCs w:val="20"/>
        </w:rPr>
        <w:t>nk PLC, as issuer of the Notes.</w:t>
      </w:r>
      <w:r w:rsidRPr="00F0714C">
        <w:rPr>
          <w:szCs w:val="20"/>
        </w:rPr>
        <w:t xml:space="preserve"> For example, Barclays Capital Inc. or its representatives may derive compensation or financial benefit from the distribution of the Notes</w:t>
      </w:r>
      <w:r w:rsidR="00BF3A59" w:rsidRPr="00BF3A59">
        <w:t xml:space="preserve"> </w:t>
      </w:r>
      <w:r w:rsidR="00BF3A59" w:rsidRPr="00BF3A59">
        <w:rPr>
          <w:szCs w:val="20"/>
        </w:rPr>
        <w:t>and such compensation or financial benefit may serve as incentive to sell the Notes instead of other investments</w:t>
      </w:r>
      <w:r w:rsidRPr="00F0714C">
        <w:rPr>
          <w:szCs w:val="20"/>
        </w:rPr>
        <w:t>. </w:t>
      </w:r>
      <w:bookmarkStart w:id="13" w:name="_cp_text_1_40"/>
      <w:r w:rsidRPr="00F0714C">
        <w:rPr>
          <w:szCs w:val="20"/>
        </w:rPr>
        <w:t>Furthermore</w:t>
      </w:r>
      <w:bookmarkEnd w:id="13"/>
      <w:r w:rsidRPr="00F0714C">
        <w:rPr>
          <w:szCs w:val="20"/>
        </w:rPr>
        <w:t>, we and our affiliates establish the offering price of the Notes</w:t>
      </w:r>
      <w:bookmarkStart w:id="14" w:name="_cp_text_1_42"/>
      <w:r w:rsidRPr="00F0714C">
        <w:rPr>
          <w:szCs w:val="20"/>
        </w:rPr>
        <w:t xml:space="preserve"> </w:t>
      </w:r>
      <w:bookmarkEnd w:id="14"/>
      <w:r w:rsidRPr="00F0714C">
        <w:rPr>
          <w:szCs w:val="20"/>
        </w:rPr>
        <w:t>for initial sale to the public, and the offering price is not based upon any independent verification or valuation.</w:t>
      </w:r>
    </w:p>
    <w:p w:rsidR="004B11C0" w:rsidRPr="0010195C" w:rsidRDefault="00220914" w:rsidP="0010195C">
      <w:pPr>
        <w:pStyle w:val="ListParagraph"/>
        <w:spacing w:before="60" w:after="60"/>
        <w:ind w:left="360"/>
        <w:jc w:val="both"/>
        <w:rPr>
          <w:szCs w:val="20"/>
        </w:rPr>
      </w:pPr>
      <w:r w:rsidRPr="00F0714C">
        <w:rPr>
          <w:szCs w:val="20"/>
        </w:rPr>
        <w:t>In addition to the activities described above, we will also act as the C</w:t>
      </w:r>
      <w:r w:rsidR="0010195C">
        <w:rPr>
          <w:szCs w:val="20"/>
        </w:rPr>
        <w:t>alculation Agent for the Notes.</w:t>
      </w:r>
      <w:r w:rsidRPr="00F0714C">
        <w:rPr>
          <w:szCs w:val="20"/>
        </w:rPr>
        <w:t xml:space="preserve"> As Calculation Agent, we wi</w:t>
      </w:r>
      <w:r>
        <w:rPr>
          <w:szCs w:val="20"/>
        </w:rPr>
        <w:t xml:space="preserve">ll determine any values of the </w:t>
      </w:r>
      <w:r w:rsidR="005360DA">
        <w:rPr>
          <w:szCs w:val="20"/>
        </w:rPr>
        <w:t>Reference Assets</w:t>
      </w:r>
      <w:r w:rsidR="00F44285">
        <w:rPr>
          <w:szCs w:val="20"/>
        </w:rPr>
        <w:t xml:space="preserve"> </w:t>
      </w:r>
      <w:r w:rsidRPr="00F0714C">
        <w:rPr>
          <w:szCs w:val="20"/>
        </w:rPr>
        <w:t xml:space="preserve">and make any other determinations necessary to calculate any payments on the Notes. </w:t>
      </w:r>
      <w:r w:rsidR="0069701C">
        <w:t xml:space="preserve">In making these determinations, the Calculation Agent may be required to make discretionary judgements relating to the Reference Assets, including determining whether a market disruption event has occurred or whether certain adjustments to the Reference Assets or other terms of the Notes are necessary, as further described in the accompanying prospectus supplement. </w:t>
      </w:r>
      <w:r w:rsidRPr="00F0714C">
        <w:rPr>
          <w:szCs w:val="20"/>
        </w:rPr>
        <w:t xml:space="preserve"> In making these discretionary judgments, our economic interests are potentially adverse to your interests as an investor in the Notes, and any of these determinations may adversely affect any payments on the Notes.</w:t>
      </w:r>
    </w:p>
    <w:p w:rsidR="0032085C" w:rsidRDefault="000A7489">
      <w:pPr>
        <w:pStyle w:val="Bullet"/>
        <w:keepLines/>
        <w:numPr>
          <w:ilvl w:val="2"/>
          <w:numId w:val="1"/>
        </w:numPr>
        <w:tabs>
          <w:tab w:val="clear" w:pos="2160"/>
          <w:tab w:val="num" w:pos="720"/>
          <w:tab w:val="num" w:pos="2520"/>
        </w:tabs>
        <w:spacing w:before="60" w:after="60"/>
        <w:ind w:left="360"/>
        <w:contextualSpacing w:val="0"/>
        <w:jc w:val="both"/>
      </w:pPr>
      <w:r w:rsidRPr="00F901EF">
        <w:rPr>
          <w:b/>
        </w:rPr>
        <w:t>Lack of Liquidity</w:t>
      </w:r>
      <w:r w:rsidR="00185110" w:rsidRPr="009A789F">
        <w:t>—</w:t>
      </w:r>
      <w:r w:rsidRPr="00F901EF">
        <w:t>The Notes will</w:t>
      </w:r>
      <w:r>
        <w:t xml:space="preserve"> not be lis</w:t>
      </w:r>
      <w:r w:rsidR="0010195C">
        <w:t>ted on any securities exchange.</w:t>
      </w:r>
      <w:r>
        <w:t xml:space="preserve"> Barclays Capital Inc. and other affiliates of Barclays Bank PLC intend to make a secondary market for the Notes but are not required to do so, and may discontinue any such secondary market maki</w:t>
      </w:r>
      <w:r w:rsidR="0010195C">
        <w:t>ng at any time, without notice.</w:t>
      </w:r>
      <w:r>
        <w:t xml:space="preserve"> Barclays Capital Inc. may at any time hold unsold inventory, which may inhibit the development of a secondary market for the Notes. Even if there is a secondary market, it may not provide enough liquidity to allow you to </w:t>
      </w:r>
      <w:r w:rsidR="0010195C">
        <w:t>trade or sell the Notes easily.</w:t>
      </w:r>
      <w:r>
        <w:t xml:space="preserve"> Because other dealers are not likely to make a secondary </w:t>
      </w:r>
      <w:r w:rsidRPr="00F901EF">
        <w:t>market for the Notes, the</w:t>
      </w:r>
      <w:r>
        <w:t xml:space="preserve"> price at which you may be able to trade your Notes is likely to depend on the price, if any, at which Barclays Capital Inc. and other affiliates of Barclays Bank PLC are willing to buy the Notes. The Notes are not designed to be </w:t>
      </w:r>
      <w:r w:rsidR="0010195C">
        <w:t>short-term trading instruments.</w:t>
      </w:r>
      <w:r>
        <w:t xml:space="preserve"> Accordingly, you should be </w:t>
      </w:r>
      <w:r w:rsidR="00CC2AF3">
        <w:t xml:space="preserve">willing and </w:t>
      </w:r>
      <w:r>
        <w:t>able to hold your Notes to maturity.</w:t>
      </w:r>
    </w:p>
    <w:p w:rsidR="00E54ADC" w:rsidRDefault="00261235" w:rsidP="00AD1753">
      <w:pPr>
        <w:pStyle w:val="Bullet"/>
        <w:keepNext/>
        <w:keepLines/>
        <w:numPr>
          <w:ilvl w:val="2"/>
          <w:numId w:val="1"/>
        </w:numPr>
        <w:tabs>
          <w:tab w:val="clear" w:pos="2160"/>
          <w:tab w:val="num" w:pos="720"/>
          <w:tab w:val="num" w:pos="2520"/>
        </w:tabs>
        <w:spacing w:before="60" w:after="60"/>
        <w:ind w:left="360"/>
        <w:contextualSpacing w:val="0"/>
        <w:jc w:val="both"/>
      </w:pPr>
      <w:r w:rsidRPr="00491AA1">
        <w:rPr>
          <w:b/>
        </w:rPr>
        <w:t>The U</w:t>
      </w:r>
      <w:r w:rsidRPr="0010195C">
        <w:t>.</w:t>
      </w:r>
      <w:r w:rsidRPr="00491AA1">
        <w:rPr>
          <w:b/>
        </w:rPr>
        <w:t>S</w:t>
      </w:r>
      <w:r w:rsidRPr="0010195C">
        <w:t>.</w:t>
      </w:r>
      <w:r w:rsidRPr="00491AA1">
        <w:rPr>
          <w:b/>
        </w:rPr>
        <w:t xml:space="preserve"> Federal Income Tax Consequences of an Investment in the Notes </w:t>
      </w:r>
      <w:r>
        <w:rPr>
          <w:b/>
        </w:rPr>
        <w:t>A</w:t>
      </w:r>
      <w:r w:rsidRPr="00491AA1">
        <w:rPr>
          <w:b/>
        </w:rPr>
        <w:t>re Uncertain</w:t>
      </w:r>
      <w:r>
        <w:t>—</w:t>
      </w:r>
      <w:r w:rsidR="00F67684" w:rsidRPr="00D66CB8">
        <w:t xml:space="preserve">There is no direct legal authority regarding the proper U.S. federal income tax treatment of the Notes, and we do not plan to request a ruling from the Internal Revenue Service (the “IRS”). Consequently, significant aspects of the tax treatment of the Notes are uncertain, and the IRS or a court might not agree with the treatment of the Notes as prepaid forward contracts, as described below under “Tax Considerations.” If the IRS were successful in asserting an alternative treatment for the Notes, the tax consequences of the ownership and disposition of the Notes could be materially and adversely affected. </w:t>
      </w:r>
    </w:p>
    <w:p w:rsidR="00E54ADC" w:rsidRDefault="00F67684" w:rsidP="00E54ADC">
      <w:pPr>
        <w:pStyle w:val="Bullet"/>
        <w:numPr>
          <w:ilvl w:val="0"/>
          <w:numId w:val="0"/>
        </w:numPr>
        <w:tabs>
          <w:tab w:val="num" w:pos="2520"/>
        </w:tabs>
        <w:spacing w:before="60" w:after="60"/>
        <w:ind w:left="360"/>
        <w:contextualSpacing w:val="0"/>
        <w:jc w:val="both"/>
      </w:pPr>
      <w:r w:rsidRPr="00D66CB8">
        <w:t xml:space="preserve">Even if the treatment of the Notes is respected, the IRS may assert that the Notes constitute “constructive ownership transactions” within the meaning of Section 1260 of the Internal Revenue Code of 1986, as amended (the “Code”), in which case gain recognized in respect of the Notes that would otherwise be long-term capital gain and that was in excess of the “net underlying long-term capital gain” (as defined in Section 1260) would be treated as ordinary income, and a notional interest charge would apply as if that income had accrued for tax purposes at a constant yield over the term of the Notes. Our special tax counsel has not expressed an opinion with respect to whether the “constructive ownership” rules apply to the Notes. </w:t>
      </w:r>
    </w:p>
    <w:p w:rsidR="00261235" w:rsidRDefault="00F67684" w:rsidP="00E54ADC">
      <w:pPr>
        <w:pStyle w:val="Bullet"/>
        <w:numPr>
          <w:ilvl w:val="0"/>
          <w:numId w:val="0"/>
        </w:numPr>
        <w:tabs>
          <w:tab w:val="num" w:pos="2520"/>
        </w:tabs>
        <w:spacing w:before="60" w:after="60"/>
        <w:ind w:left="360"/>
        <w:contextualSpacing w:val="0"/>
        <w:jc w:val="both"/>
      </w:pPr>
      <w:r w:rsidRPr="00D66CB8">
        <w:t>In addition, in 2007 the Treasury Department and the IRS released a notice requesting comments on various issues regarding the U.S. federal income tax treatment of “prepaid forward contracts” and similar instruments. Any Treasury regulations or other guidance promulgated after consideration of these issues could materially and adversely affect the tax consequences of an investment in the Notes, possibly with retroactive effect. You should review carefully the sections of the accompanying prospectus supplement entitled “Material U.S. Federal Income Tax Consequences—Tax Consequences to U.S. Holders—Notes Treated as Prepaid Forward or Derivative Contracts” and, if you are a non-U.S. holder, “—Tax Consequences to Non-U.S. Holders,” and consult your tax advisor regarding the U.S. federal tax consequences of an investment in the Notes (including the potential application of the constructive ownership rules, possible alternative treatments and the issues presented by the 2007 notice), as well as tax consequences arising under the laws of any state, local or non-U.S. taxing jurisdiction.</w:t>
      </w:r>
    </w:p>
    <w:p w:rsidR="00056A1B" w:rsidRDefault="00BF3A59" w:rsidP="00C67381">
      <w:pPr>
        <w:pStyle w:val="Bullet"/>
        <w:keepLines/>
        <w:numPr>
          <w:ilvl w:val="2"/>
          <w:numId w:val="1"/>
        </w:numPr>
        <w:tabs>
          <w:tab w:val="clear" w:pos="2160"/>
          <w:tab w:val="num" w:pos="720"/>
          <w:tab w:val="num" w:pos="2520"/>
        </w:tabs>
        <w:spacing w:before="60" w:after="60"/>
        <w:ind w:left="360"/>
        <w:contextualSpacing w:val="0"/>
        <w:jc w:val="both"/>
      </w:pPr>
      <w:r w:rsidRPr="00C67381">
        <w:rPr>
          <w:b/>
        </w:rPr>
        <w:t>M</w:t>
      </w:r>
      <w:r w:rsidR="000A7489" w:rsidRPr="00BF3A59">
        <w:rPr>
          <w:b/>
        </w:rPr>
        <w:t>a</w:t>
      </w:r>
      <w:r w:rsidR="000A7489">
        <w:rPr>
          <w:b/>
        </w:rPr>
        <w:t>ny Economic and Market Factors Will Impact the Value of the Notes</w:t>
      </w:r>
      <w:r w:rsidR="000A7489">
        <w:t>—</w:t>
      </w:r>
      <w:r w:rsidR="007D38EE">
        <w:t>The</w:t>
      </w:r>
      <w:r w:rsidR="000A7489">
        <w:t xml:space="preserve"> value of the Notes will be affected by a number of economic and market factors that </w:t>
      </w:r>
      <w:r w:rsidR="00534558">
        <w:t xml:space="preserve">interact in complex and unpredictable ways and that </w:t>
      </w:r>
      <w:r w:rsidR="000A7489">
        <w:t>may either offset or magnify each other, including:</w:t>
      </w:r>
    </w:p>
    <w:p w:rsidR="000A5FBA" w:rsidRDefault="000A5FBA" w:rsidP="000A5FBA">
      <w:pPr>
        <w:pStyle w:val="Bullet"/>
        <w:numPr>
          <w:ilvl w:val="1"/>
          <w:numId w:val="1"/>
        </w:numPr>
        <w:tabs>
          <w:tab w:val="clear" w:pos="1440"/>
        </w:tabs>
        <w:spacing w:before="60" w:after="60"/>
        <w:ind w:left="1080"/>
        <w:contextualSpacing w:val="0"/>
        <w:jc w:val="both"/>
      </w:pPr>
      <w:r w:rsidRPr="005442A4">
        <w:t>the</w:t>
      </w:r>
      <w:r>
        <w:t xml:space="preserve"> market price of, dividend rate on and expected volatility of the Reference Assets </w:t>
      </w:r>
      <w:r w:rsidR="00CC2AF3">
        <w:t xml:space="preserve">or </w:t>
      </w:r>
      <w:r>
        <w:t xml:space="preserve">the components of </w:t>
      </w:r>
      <w:r w:rsidR="00917B6F">
        <w:t>the Reference Assets</w:t>
      </w:r>
      <w:r w:rsidR="00CC2AF3">
        <w:t>, if any</w:t>
      </w:r>
      <w:r>
        <w:t>;</w:t>
      </w:r>
    </w:p>
    <w:p w:rsidR="00F93E5F" w:rsidRDefault="00280FEF">
      <w:pPr>
        <w:pStyle w:val="Bullet"/>
        <w:numPr>
          <w:ilvl w:val="1"/>
          <w:numId w:val="1"/>
        </w:numPr>
        <w:tabs>
          <w:tab w:val="clear" w:pos="1440"/>
        </w:tabs>
        <w:spacing w:before="60" w:after="60"/>
        <w:ind w:left="1080"/>
        <w:contextualSpacing w:val="0"/>
        <w:jc w:val="both"/>
      </w:pPr>
      <w:r>
        <w:t>correlation (or lack of correlation) of the Reference Assets;</w:t>
      </w:r>
    </w:p>
    <w:p w:rsidR="003969C0" w:rsidRDefault="003969C0" w:rsidP="0010195C">
      <w:pPr>
        <w:pStyle w:val="Bullet"/>
        <w:numPr>
          <w:ilvl w:val="1"/>
          <w:numId w:val="1"/>
        </w:numPr>
        <w:tabs>
          <w:tab w:val="clear" w:pos="1440"/>
        </w:tabs>
        <w:spacing w:before="60" w:after="60"/>
        <w:ind w:left="1080"/>
        <w:contextualSpacing w:val="0"/>
        <w:jc w:val="both"/>
      </w:pPr>
      <w:r>
        <w:t>the time to maturity of the Notes;</w:t>
      </w:r>
    </w:p>
    <w:p w:rsidR="003969C0" w:rsidRDefault="003969C0" w:rsidP="0010195C">
      <w:pPr>
        <w:pStyle w:val="Bullet"/>
        <w:numPr>
          <w:ilvl w:val="1"/>
          <w:numId w:val="1"/>
        </w:numPr>
        <w:tabs>
          <w:tab w:val="clear" w:pos="1440"/>
        </w:tabs>
        <w:spacing w:before="60" w:after="60"/>
        <w:ind w:left="1080"/>
        <w:contextualSpacing w:val="0"/>
        <w:jc w:val="both"/>
      </w:pPr>
      <w:r>
        <w:t>interest and yield rates in the market generally;</w:t>
      </w:r>
    </w:p>
    <w:p w:rsidR="003969C0" w:rsidRDefault="003969C0" w:rsidP="0010195C">
      <w:pPr>
        <w:pStyle w:val="Bullet"/>
        <w:numPr>
          <w:ilvl w:val="1"/>
          <w:numId w:val="1"/>
        </w:numPr>
        <w:tabs>
          <w:tab w:val="clear" w:pos="1440"/>
        </w:tabs>
        <w:spacing w:before="60" w:after="60"/>
        <w:ind w:left="1080"/>
        <w:contextualSpacing w:val="0"/>
        <w:jc w:val="both"/>
      </w:pPr>
      <w:r>
        <w:t xml:space="preserve">a variety of economic, financial, political, regulatory or judicial events; </w:t>
      </w:r>
    </w:p>
    <w:p w:rsidR="003969C0" w:rsidRDefault="003969C0" w:rsidP="0010195C">
      <w:pPr>
        <w:pStyle w:val="Bullet"/>
        <w:numPr>
          <w:ilvl w:val="1"/>
          <w:numId w:val="1"/>
        </w:numPr>
        <w:tabs>
          <w:tab w:val="clear" w:pos="1440"/>
        </w:tabs>
        <w:spacing w:before="60" w:after="60"/>
        <w:ind w:left="1080"/>
        <w:contextualSpacing w:val="0"/>
        <w:jc w:val="both"/>
      </w:pPr>
      <w:r>
        <w:t>supply and demand for the Notes;</w:t>
      </w:r>
    </w:p>
    <w:p w:rsidR="004006F7" w:rsidRDefault="004006F7" w:rsidP="0010195C">
      <w:pPr>
        <w:pStyle w:val="Bullet"/>
        <w:numPr>
          <w:ilvl w:val="1"/>
          <w:numId w:val="1"/>
        </w:numPr>
        <w:tabs>
          <w:tab w:val="clear" w:pos="1440"/>
        </w:tabs>
        <w:spacing w:before="60" w:after="60"/>
        <w:ind w:left="1080"/>
        <w:contextualSpacing w:val="0"/>
        <w:jc w:val="both"/>
      </w:pPr>
      <w:r w:rsidRPr="004006F7">
        <w:t xml:space="preserve">the exchange rates relative to the U.S. dollar with respect to the </w:t>
      </w:r>
      <w:r w:rsidR="00CC2AF3" w:rsidRPr="004006F7">
        <w:t>currenc</w:t>
      </w:r>
      <w:r w:rsidR="00CC2AF3">
        <w:t>y</w:t>
      </w:r>
      <w:r w:rsidR="00CC2AF3" w:rsidRPr="004006F7">
        <w:t xml:space="preserve"> </w:t>
      </w:r>
      <w:r w:rsidRPr="004006F7">
        <w:t xml:space="preserve">in which the component securities </w:t>
      </w:r>
      <w:r w:rsidR="00CC2AF3">
        <w:t>of</w:t>
      </w:r>
      <w:r w:rsidRPr="004006F7">
        <w:t xml:space="preserve"> the </w:t>
      </w:r>
      <w:r>
        <w:t>Reference Assets</w:t>
      </w:r>
      <w:r w:rsidR="00B74FF6">
        <w:t xml:space="preserve"> trade</w:t>
      </w:r>
      <w:r w:rsidRPr="004006F7">
        <w:t>; and</w:t>
      </w:r>
    </w:p>
    <w:p w:rsidR="00056A1B" w:rsidRDefault="003969C0" w:rsidP="0010195C">
      <w:pPr>
        <w:pStyle w:val="Bullet"/>
        <w:numPr>
          <w:ilvl w:val="1"/>
          <w:numId w:val="1"/>
        </w:numPr>
        <w:spacing w:before="60" w:after="60"/>
        <w:ind w:left="1080"/>
        <w:contextualSpacing w:val="0"/>
        <w:jc w:val="both"/>
      </w:pPr>
      <w:r>
        <w:t>our creditworthiness, including actual or anticipated downgrades in our credit ratings</w:t>
      </w:r>
      <w:r w:rsidR="000A7489">
        <w:t>.</w:t>
      </w:r>
    </w:p>
    <w:p w:rsidR="000A5FBA" w:rsidRDefault="000A7489" w:rsidP="00125597">
      <w:pPr>
        <w:pStyle w:val="Bullet"/>
        <w:numPr>
          <w:ilvl w:val="0"/>
          <w:numId w:val="0"/>
        </w:numPr>
        <w:tabs>
          <w:tab w:val="left" w:pos="0"/>
          <w:tab w:val="left" w:pos="810"/>
          <w:tab w:val="num" w:pos="2520"/>
        </w:tabs>
        <w:contextualSpacing w:val="0"/>
        <w:rPr>
          <w:b/>
          <w:caps/>
        </w:rPr>
      </w:pPr>
      <w:r>
        <w:rPr>
          <w:b/>
          <w:caps/>
        </w:rPr>
        <w:br w:type="page"/>
      </w:r>
      <w:r w:rsidR="000A5FBA">
        <w:rPr>
          <w:b/>
          <w:caps/>
        </w:rPr>
        <w:t>Information Regarding the Reference Assets</w:t>
      </w:r>
    </w:p>
    <w:p w:rsidR="00F93E5F" w:rsidRDefault="0026214B" w:rsidP="00D352D0">
      <w:pPr>
        <w:pStyle w:val="Bullet"/>
        <w:numPr>
          <w:ilvl w:val="0"/>
          <w:numId w:val="0"/>
        </w:numPr>
        <w:tabs>
          <w:tab w:val="left" w:pos="0"/>
          <w:tab w:val="left" w:pos="810"/>
          <w:tab w:val="num" w:pos="2520"/>
        </w:tabs>
        <w:rPr>
          <w:b/>
          <w:color w:val="000000"/>
          <w:szCs w:val="20"/>
          <w:u w:val="single"/>
          <w:lang w:val="en-US" w:eastAsia="en-US"/>
        </w:rPr>
      </w:pPr>
      <w:r w:rsidRPr="0026214B">
        <w:rPr>
          <w:b/>
          <w:color w:val="000000"/>
          <w:szCs w:val="20"/>
          <w:u w:val="single"/>
          <w:lang w:val="en-US" w:eastAsia="en-US"/>
        </w:rPr>
        <w:t>iShares</w:t>
      </w:r>
      <w:r w:rsidRPr="0026214B">
        <w:rPr>
          <w:b/>
          <w:color w:val="000000"/>
          <w:szCs w:val="20"/>
          <w:u w:val="single"/>
          <w:vertAlign w:val="superscript"/>
          <w:lang w:val="en-US" w:eastAsia="en-US"/>
        </w:rPr>
        <w:t>®</w:t>
      </w:r>
      <w:r w:rsidRPr="0026214B">
        <w:rPr>
          <w:b/>
          <w:color w:val="000000"/>
          <w:szCs w:val="20"/>
          <w:u w:val="single"/>
          <w:lang w:val="en-US" w:eastAsia="en-US"/>
        </w:rPr>
        <w:t xml:space="preserve"> MSCI Emerging Markets ETF</w:t>
      </w:r>
    </w:p>
    <w:p w:rsidR="00125597" w:rsidRDefault="0069701C" w:rsidP="00F65B92">
      <w:pPr>
        <w:spacing w:after="120"/>
        <w:jc w:val="both"/>
        <w:rPr>
          <w:b/>
        </w:rPr>
      </w:pPr>
      <w:r w:rsidRPr="00B83844">
        <w:t xml:space="preserve">According to publicly available information, the </w:t>
      </w:r>
      <w:r w:rsidR="00E40B31">
        <w:t>EEM Fund</w:t>
      </w:r>
      <w:r w:rsidRPr="00B83844">
        <w:t xml:space="preserve"> is an exchange-traded fund of iShares</w:t>
      </w:r>
      <w:r w:rsidRPr="00B83844">
        <w:rPr>
          <w:vertAlign w:val="superscript"/>
        </w:rPr>
        <w:t>®</w:t>
      </w:r>
      <w:r w:rsidRPr="00B83844">
        <w:t>, Inc., a registered investment company, that seeks to track investment results that correspond generally to the price and yield performance, before fees and expenses, of the MSCI Emerging Markets Index</w:t>
      </w:r>
      <w:r w:rsidR="00853AFE">
        <w:t xml:space="preserve"> (regarding the EEM Fund, its “Underlying Index”)</w:t>
      </w:r>
      <w:r>
        <w:t xml:space="preserve">. The </w:t>
      </w:r>
      <w:r w:rsidR="00CC2AF3" w:rsidRPr="00B83844">
        <w:t>MSCI Emerging Markets Index</w:t>
      </w:r>
      <w:r w:rsidRPr="00B83844">
        <w:t xml:space="preserve"> is a free float-adjusted market capitalization index that is designed to measure the equity market performance of global emerging markets. For more information about the </w:t>
      </w:r>
      <w:r w:rsidR="00E40B31">
        <w:t>EEM Fund</w:t>
      </w:r>
      <w:r w:rsidRPr="00B83844">
        <w:t>, see “Exchange-Traded Funds—The iShares</w:t>
      </w:r>
      <w:r w:rsidRPr="00B83844">
        <w:rPr>
          <w:vertAlign w:val="superscript"/>
        </w:rPr>
        <w:t>®</w:t>
      </w:r>
      <w:r w:rsidRPr="00B83844">
        <w:t xml:space="preserve"> ETFs” in the accompanying underlying supplement.</w:t>
      </w:r>
    </w:p>
    <w:p w:rsidR="00F93E5F" w:rsidRDefault="000A5FBA" w:rsidP="00125597">
      <w:pPr>
        <w:spacing w:after="120"/>
      </w:pPr>
      <w:r>
        <w:rPr>
          <w:b/>
        </w:rPr>
        <w:t xml:space="preserve">Historical Performance of the </w:t>
      </w:r>
      <w:r w:rsidR="00E40B31">
        <w:rPr>
          <w:b/>
        </w:rPr>
        <w:t>EEM Fund</w:t>
      </w:r>
    </w:p>
    <w:p w:rsidR="000A5FBA" w:rsidRPr="00732730" w:rsidRDefault="008F20F1" w:rsidP="00125597">
      <w:pPr>
        <w:spacing w:after="120"/>
        <w:jc w:val="both"/>
        <w:rPr>
          <w:szCs w:val="20"/>
        </w:rPr>
      </w:pPr>
      <w:r>
        <w:t xml:space="preserve">The </w:t>
      </w:r>
      <w:r w:rsidR="000A5FBA">
        <w:t xml:space="preserve">graph below sets forth the historical performance of the </w:t>
      </w:r>
      <w:r w:rsidR="00E40B31">
        <w:rPr>
          <w:color w:val="000000"/>
          <w:szCs w:val="20"/>
          <w:lang w:val="en-US" w:eastAsia="en-US"/>
        </w:rPr>
        <w:t>EEM Fund</w:t>
      </w:r>
      <w:r w:rsidR="000A5FBA">
        <w:t xml:space="preserve"> based on the daily Closing </w:t>
      </w:r>
      <w:r w:rsidR="00B9325C">
        <w:t>Value</w:t>
      </w:r>
      <w:r w:rsidR="000A5FBA">
        <w:t xml:space="preserve"> from January </w:t>
      </w:r>
      <w:r w:rsidR="00DA6E16">
        <w:t>2</w:t>
      </w:r>
      <w:r w:rsidR="000A5FBA">
        <w:t xml:space="preserve">, </w:t>
      </w:r>
      <w:r w:rsidR="00B20424">
        <w:t xml:space="preserve">2015 </w:t>
      </w:r>
      <w:r w:rsidR="000A5FBA">
        <w:t xml:space="preserve">through </w:t>
      </w:r>
      <w:r w:rsidR="00B20424">
        <w:t>January 3, 2020</w:t>
      </w:r>
      <w:r w:rsidR="000A5FBA">
        <w:t xml:space="preserve">. We obtained the Closing </w:t>
      </w:r>
      <w:r w:rsidR="00B9325C">
        <w:t>Value</w:t>
      </w:r>
      <w:r w:rsidR="000A5FBA">
        <w:t xml:space="preserve">s shown in the graph below from </w:t>
      </w:r>
      <w:r w:rsidR="00762263" w:rsidRPr="00DC1C69">
        <w:t>Bloomberg</w:t>
      </w:r>
      <w:r w:rsidR="00762263">
        <w:t xml:space="preserve"> Professional</w:t>
      </w:r>
      <w:r w:rsidR="00762263" w:rsidRPr="00167461">
        <w:rPr>
          <w:szCs w:val="20"/>
          <w:vertAlign w:val="superscript"/>
        </w:rPr>
        <w:t>®</w:t>
      </w:r>
      <w:r w:rsidR="00762263" w:rsidRPr="000C15F8">
        <w:rPr>
          <w:sz w:val="16"/>
          <w:szCs w:val="16"/>
        </w:rPr>
        <w:t xml:space="preserve"> </w:t>
      </w:r>
      <w:r w:rsidR="00762263">
        <w:t xml:space="preserve">service (“Bloomberg”). </w:t>
      </w:r>
      <w:r w:rsidR="000A5FBA">
        <w:t xml:space="preserve">We have not independently verified the accuracy or </w:t>
      </w:r>
      <w:r w:rsidR="000A5FBA">
        <w:rPr>
          <w:szCs w:val="20"/>
        </w:rPr>
        <w:t>completeness of the information obtained from Bloomberg.</w:t>
      </w:r>
    </w:p>
    <w:p w:rsidR="000A5FBA" w:rsidRDefault="000A5FBA" w:rsidP="000A5FBA">
      <w:pPr>
        <w:jc w:val="center"/>
        <w:rPr>
          <w:b/>
          <w:szCs w:val="20"/>
        </w:rPr>
      </w:pPr>
      <w:r>
        <w:rPr>
          <w:b/>
          <w:szCs w:val="20"/>
        </w:rPr>
        <w:t>Historical Performance of the iShares</w:t>
      </w:r>
      <w:r>
        <w:rPr>
          <w:rFonts w:ascii="Times New Roman Bold" w:hAnsi="Times New Roman Bold"/>
          <w:b/>
          <w:szCs w:val="20"/>
          <w:vertAlign w:val="superscript"/>
        </w:rPr>
        <w:t>®</w:t>
      </w:r>
      <w:r>
        <w:rPr>
          <w:b/>
          <w:szCs w:val="20"/>
        </w:rPr>
        <w:t xml:space="preserve"> MSCI Emerging Markets ETF</w:t>
      </w:r>
    </w:p>
    <w:p w:rsidR="00366266" w:rsidRDefault="00B20424" w:rsidP="000A5FBA">
      <w:pPr>
        <w:jc w:val="center"/>
        <w:rPr>
          <w:b/>
          <w:szCs w:val="20"/>
        </w:rPr>
      </w:pPr>
      <w:r>
        <w:rPr>
          <w:b/>
          <w:noProof/>
          <w:szCs w:val="20"/>
          <w:lang w:val="en-US" w:eastAsia="en-US"/>
        </w:rPr>
        <w:drawing>
          <wp:inline distT="0" distB="0" distL="0" distR="0" wp14:anchorId="011A91EF">
            <wp:extent cx="6401435" cy="40360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1435" cy="4036060"/>
                    </a:xfrm>
                    <a:prstGeom prst="rect">
                      <a:avLst/>
                    </a:prstGeom>
                    <a:noFill/>
                  </pic:spPr>
                </pic:pic>
              </a:graphicData>
            </a:graphic>
          </wp:inline>
        </w:drawing>
      </w:r>
    </w:p>
    <w:p w:rsidR="000A5FBA" w:rsidRDefault="000A5FBA" w:rsidP="006B0B8C">
      <w:pPr>
        <w:jc w:val="center"/>
        <w:rPr>
          <w:b/>
          <w:i/>
        </w:rPr>
      </w:pPr>
      <w:r w:rsidRPr="00C24754">
        <w:rPr>
          <w:b/>
          <w:i/>
        </w:rPr>
        <w:t>PAST PERFORMANCE IS NOT INDICATIVE OF FUTURE RESULTS</w:t>
      </w:r>
    </w:p>
    <w:p w:rsidR="000A5FBA" w:rsidRDefault="000A5FBA" w:rsidP="000A5FBA">
      <w:pPr>
        <w:rPr>
          <w:b/>
        </w:rPr>
      </w:pPr>
      <w:r>
        <w:rPr>
          <w:b/>
        </w:rPr>
        <w:br w:type="page"/>
      </w:r>
    </w:p>
    <w:p w:rsidR="009B11E2" w:rsidRPr="009B11E2" w:rsidRDefault="009B11E2" w:rsidP="00125597">
      <w:pPr>
        <w:pStyle w:val="Bullet"/>
        <w:numPr>
          <w:ilvl w:val="0"/>
          <w:numId w:val="0"/>
        </w:numPr>
        <w:tabs>
          <w:tab w:val="num" w:pos="2520"/>
        </w:tabs>
        <w:ind w:left="720" w:hanging="720"/>
        <w:rPr>
          <w:b/>
          <w:color w:val="000000"/>
          <w:szCs w:val="20"/>
          <w:u w:val="single"/>
          <w:lang w:val="en-US" w:eastAsia="en-US"/>
        </w:rPr>
      </w:pPr>
      <w:r w:rsidRPr="009B11E2">
        <w:rPr>
          <w:b/>
          <w:color w:val="000000"/>
          <w:szCs w:val="20"/>
          <w:u w:val="single"/>
          <w:lang w:val="en-US" w:eastAsia="en-US"/>
        </w:rPr>
        <w:t>iShares</w:t>
      </w:r>
      <w:r w:rsidRPr="009B11E2">
        <w:rPr>
          <w:b/>
          <w:color w:val="000000"/>
          <w:szCs w:val="20"/>
          <w:u w:val="single"/>
          <w:vertAlign w:val="superscript"/>
          <w:lang w:val="en-US" w:eastAsia="en-US"/>
        </w:rPr>
        <w:t>®</w:t>
      </w:r>
      <w:r w:rsidRPr="009B11E2">
        <w:rPr>
          <w:b/>
          <w:color w:val="000000"/>
          <w:szCs w:val="20"/>
          <w:u w:val="single"/>
          <w:lang w:val="en-US" w:eastAsia="en-US"/>
        </w:rPr>
        <w:t xml:space="preserve"> MSCI </w:t>
      </w:r>
      <w:r>
        <w:rPr>
          <w:b/>
          <w:color w:val="000000"/>
          <w:szCs w:val="20"/>
          <w:u w:val="single"/>
          <w:lang w:val="en-US" w:eastAsia="en-US"/>
        </w:rPr>
        <w:t>EAFE</w:t>
      </w:r>
      <w:r w:rsidRPr="009B11E2">
        <w:rPr>
          <w:b/>
          <w:color w:val="000000"/>
          <w:szCs w:val="20"/>
          <w:u w:val="single"/>
          <w:lang w:val="en-US" w:eastAsia="en-US"/>
        </w:rPr>
        <w:t xml:space="preserve"> ETF</w:t>
      </w:r>
    </w:p>
    <w:p w:rsidR="009B11E2" w:rsidRPr="009B11E2" w:rsidRDefault="0069701C" w:rsidP="000E4333">
      <w:pPr>
        <w:spacing w:after="120"/>
        <w:jc w:val="both"/>
      </w:pPr>
      <w:r w:rsidRPr="00B83844">
        <w:t xml:space="preserve">According to publicly available information, the </w:t>
      </w:r>
      <w:r w:rsidR="00E40B31">
        <w:t>EFA Fund</w:t>
      </w:r>
      <w:r w:rsidRPr="00B83844">
        <w:t xml:space="preserve"> is an exchange-traded fund of iShares</w:t>
      </w:r>
      <w:r w:rsidRPr="00B83844">
        <w:rPr>
          <w:vertAlign w:val="superscript"/>
        </w:rPr>
        <w:t>®</w:t>
      </w:r>
      <w:r w:rsidRPr="00B83844">
        <w:t xml:space="preserve"> Trust, a registered investment company, that seeks to track investment results that correspond generally to the price and yield performance, before fees and expenses, of the MSCI EAFE</w:t>
      </w:r>
      <w:r w:rsidRPr="00B83844">
        <w:rPr>
          <w:vertAlign w:val="superscript"/>
        </w:rPr>
        <w:t>®</w:t>
      </w:r>
      <w:r>
        <w:t xml:space="preserve"> Index</w:t>
      </w:r>
      <w:r w:rsidR="00853AFE">
        <w:t xml:space="preserve"> (regarding the EFA Fund, its “Underlying Index”)</w:t>
      </w:r>
      <w:r>
        <w:t xml:space="preserve">. The </w:t>
      </w:r>
      <w:r w:rsidR="00CC2AF3" w:rsidRPr="00B83844">
        <w:t>MSCI EAFE</w:t>
      </w:r>
      <w:r w:rsidR="00CC2AF3" w:rsidRPr="00B83844">
        <w:rPr>
          <w:vertAlign w:val="superscript"/>
        </w:rPr>
        <w:t>®</w:t>
      </w:r>
      <w:r w:rsidR="00CC2AF3">
        <w:t xml:space="preserve"> Index</w:t>
      </w:r>
      <w:r w:rsidRPr="00B83844">
        <w:t xml:space="preserve"> is a free float-adjusted market capitalization index that is designed to measure the equity market performance of certain developed markets excluding the United States and Canada. For more information about the </w:t>
      </w:r>
      <w:r w:rsidR="00E40B31">
        <w:t>EFA Fund</w:t>
      </w:r>
      <w:r w:rsidRPr="00B83844">
        <w:t>, see “Exchange-Traded Funds—The iShares</w:t>
      </w:r>
      <w:r w:rsidRPr="00B83844">
        <w:rPr>
          <w:vertAlign w:val="superscript"/>
        </w:rPr>
        <w:t>®</w:t>
      </w:r>
      <w:r w:rsidRPr="00B83844">
        <w:t xml:space="preserve"> ETFs” in the accompanying underlying supplement.</w:t>
      </w:r>
    </w:p>
    <w:p w:rsidR="000A5FBA" w:rsidRDefault="000A5FBA" w:rsidP="000A5FBA">
      <w:pPr>
        <w:spacing w:after="120"/>
      </w:pPr>
      <w:r>
        <w:rPr>
          <w:b/>
        </w:rPr>
        <w:t xml:space="preserve">Historical Performance of the </w:t>
      </w:r>
      <w:r w:rsidR="00E40B31">
        <w:rPr>
          <w:b/>
        </w:rPr>
        <w:t>EFA Fund</w:t>
      </w:r>
    </w:p>
    <w:p w:rsidR="000A5FBA" w:rsidRPr="00732730" w:rsidRDefault="000A5FBA" w:rsidP="000A5FBA">
      <w:pPr>
        <w:spacing w:after="120"/>
        <w:jc w:val="both"/>
        <w:rPr>
          <w:szCs w:val="20"/>
        </w:rPr>
      </w:pPr>
      <w:r>
        <w:t xml:space="preserve">The graph below sets forth the historical performance of the </w:t>
      </w:r>
      <w:r w:rsidR="00E40B31">
        <w:t>EFA Fund</w:t>
      </w:r>
      <w:r>
        <w:t xml:space="preserve"> based on the daily Closing </w:t>
      </w:r>
      <w:r w:rsidR="00B9325C">
        <w:t>Value</w:t>
      </w:r>
      <w:r>
        <w:t xml:space="preserve"> from January </w:t>
      </w:r>
      <w:r w:rsidR="00DA6E16">
        <w:t>2</w:t>
      </w:r>
      <w:r>
        <w:t xml:space="preserve">, </w:t>
      </w:r>
      <w:r w:rsidR="00B20424">
        <w:t xml:space="preserve">2015 </w:t>
      </w:r>
      <w:r>
        <w:t xml:space="preserve">through </w:t>
      </w:r>
      <w:r w:rsidR="00B20424">
        <w:t>Janaury 3, 2020</w:t>
      </w:r>
      <w:r>
        <w:t xml:space="preserve">. We obtained the Closing </w:t>
      </w:r>
      <w:r w:rsidR="00B9325C">
        <w:t>Value</w:t>
      </w:r>
      <w:r>
        <w:t xml:space="preserve">s shown in the graph below from Bloomberg. We have not independently verified the accuracy or </w:t>
      </w:r>
      <w:r>
        <w:rPr>
          <w:szCs w:val="20"/>
        </w:rPr>
        <w:t>completeness of the information obtained from Bloomberg.</w:t>
      </w:r>
    </w:p>
    <w:p w:rsidR="000A5FBA" w:rsidRDefault="000A5FBA" w:rsidP="000A5FBA">
      <w:pPr>
        <w:jc w:val="center"/>
        <w:rPr>
          <w:b/>
          <w:szCs w:val="20"/>
        </w:rPr>
      </w:pPr>
      <w:r>
        <w:rPr>
          <w:b/>
          <w:szCs w:val="20"/>
        </w:rPr>
        <w:t>Historical Performance of the iShares</w:t>
      </w:r>
      <w:r>
        <w:rPr>
          <w:rFonts w:ascii="Times New Roman Bold" w:hAnsi="Times New Roman Bold"/>
          <w:b/>
          <w:szCs w:val="20"/>
          <w:vertAlign w:val="superscript"/>
        </w:rPr>
        <w:t>®</w:t>
      </w:r>
      <w:r>
        <w:rPr>
          <w:b/>
          <w:szCs w:val="20"/>
        </w:rPr>
        <w:t xml:space="preserve"> MSCI EAFE ETF</w:t>
      </w:r>
    </w:p>
    <w:p w:rsidR="000A5FBA" w:rsidRPr="00844C87" w:rsidRDefault="00B20424" w:rsidP="000A5FBA">
      <w:pPr>
        <w:jc w:val="center"/>
      </w:pPr>
      <w:r w:rsidRPr="00B20424">
        <w:rPr>
          <w:noProof/>
          <w:lang w:val="en-US" w:eastAsia="en-US"/>
        </w:rPr>
        <w:drawing>
          <wp:inline distT="0" distB="0" distL="0" distR="0">
            <wp:extent cx="6384925" cy="4023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4925" cy="4023360"/>
                    </a:xfrm>
                    <a:prstGeom prst="rect">
                      <a:avLst/>
                    </a:prstGeom>
                    <a:noFill/>
                    <a:ln>
                      <a:noFill/>
                    </a:ln>
                  </pic:spPr>
                </pic:pic>
              </a:graphicData>
            </a:graphic>
          </wp:inline>
        </w:drawing>
      </w:r>
    </w:p>
    <w:p w:rsidR="000A5FBA" w:rsidRPr="00737131" w:rsidRDefault="000A5FBA" w:rsidP="000A5FBA">
      <w:pPr>
        <w:spacing w:before="40"/>
        <w:jc w:val="center"/>
        <w:rPr>
          <w:b/>
          <w:bCs/>
          <w:szCs w:val="20"/>
        </w:rPr>
      </w:pPr>
      <w:r w:rsidRPr="00737131">
        <w:rPr>
          <w:b/>
          <w:i/>
        </w:rPr>
        <w:t>PAST PERFORMANCE IS NOT INDICATIVE OF FUTURE RESULTS</w:t>
      </w:r>
    </w:p>
    <w:p w:rsidR="00D63474" w:rsidRDefault="00D63474" w:rsidP="000A5FBA">
      <w:pPr>
        <w:spacing w:after="60"/>
        <w:rPr>
          <w:bCs/>
          <w:highlight w:val="yellow"/>
          <w:lang w:val="en-US"/>
        </w:rPr>
      </w:pPr>
      <w:r>
        <w:rPr>
          <w:bCs/>
          <w:highlight w:val="yellow"/>
          <w:lang w:val="en-US"/>
        </w:rPr>
        <w:br w:type="page"/>
      </w:r>
    </w:p>
    <w:p w:rsidR="00AC522B" w:rsidRDefault="0008324C" w:rsidP="0010195C">
      <w:pPr>
        <w:widowControl w:val="0"/>
        <w:spacing w:after="120"/>
        <w:rPr>
          <w:rStyle w:val="StyleHeading11Arial10ptBoldNotItalicBlackChar"/>
          <w:rFonts w:ascii="Times New Roman" w:hAnsi="Times New Roman"/>
          <w:szCs w:val="20"/>
        </w:rPr>
      </w:pPr>
      <w:r>
        <w:rPr>
          <w:rStyle w:val="StyleHeading11Arial10ptBoldNotItalicBlackChar"/>
          <w:rFonts w:ascii="Times New Roman" w:hAnsi="Times New Roman"/>
          <w:szCs w:val="20"/>
        </w:rPr>
        <w:t>TAX CONSIDERATIONS</w:t>
      </w:r>
    </w:p>
    <w:p w:rsidR="006539CF" w:rsidRDefault="00F67684">
      <w:pPr>
        <w:pStyle w:val="fdBodyText"/>
        <w:jc w:val="both"/>
        <w:rPr>
          <w:rFonts w:asciiTheme="majorBidi" w:hAnsiTheme="majorBidi" w:cstheme="majorBidi"/>
        </w:rPr>
      </w:pPr>
      <w:r w:rsidRPr="007B542B">
        <w:rPr>
          <w:rFonts w:asciiTheme="majorBidi" w:hAnsiTheme="majorBidi" w:cstheme="majorBidi"/>
        </w:rPr>
        <w:t xml:space="preserve">You should review carefully the sections entitled </w:t>
      </w:r>
      <w:r>
        <w:rPr>
          <w:rFonts w:asciiTheme="majorBidi" w:hAnsiTheme="majorBidi" w:cstheme="majorBidi"/>
        </w:rPr>
        <w:t>“</w:t>
      </w:r>
      <w:r w:rsidRPr="007B542B">
        <w:rPr>
          <w:rFonts w:asciiTheme="majorBidi" w:hAnsiTheme="majorBidi" w:cstheme="majorBidi"/>
        </w:rPr>
        <w:t>Material U.S. Federal Income Tax Consequences—Tax Consequences to U.S. Holders—</w:t>
      </w:r>
      <w:r>
        <w:rPr>
          <w:rFonts w:asciiTheme="majorBidi" w:hAnsiTheme="majorBidi" w:cstheme="majorBidi"/>
        </w:rPr>
        <w:t>Notes</w:t>
      </w:r>
      <w:r w:rsidRPr="007B542B">
        <w:rPr>
          <w:rFonts w:asciiTheme="majorBidi" w:hAnsiTheme="majorBidi" w:cstheme="majorBidi"/>
        </w:rPr>
        <w:t xml:space="preserve"> Treated as Prepaid Forward or Derivative Contracts</w:t>
      </w:r>
      <w:r>
        <w:rPr>
          <w:rFonts w:asciiTheme="majorBidi" w:hAnsiTheme="majorBidi" w:cstheme="majorBidi"/>
        </w:rPr>
        <w:t>”</w:t>
      </w:r>
      <w:r w:rsidRPr="007B542B">
        <w:rPr>
          <w:rFonts w:asciiTheme="majorBidi" w:hAnsiTheme="majorBidi" w:cstheme="majorBidi"/>
        </w:rPr>
        <w:t xml:space="preserve"> and, if you are a non-U.S. holder, </w:t>
      </w:r>
      <w:r>
        <w:rPr>
          <w:rFonts w:asciiTheme="majorBidi" w:hAnsiTheme="majorBidi" w:cstheme="majorBidi"/>
        </w:rPr>
        <w:t>“</w:t>
      </w:r>
      <w:r w:rsidRPr="007B542B">
        <w:rPr>
          <w:rFonts w:asciiTheme="majorBidi" w:hAnsiTheme="majorBidi" w:cstheme="majorBidi"/>
        </w:rPr>
        <w:t>—Tax Consequences to Non-U.S. Holders,</w:t>
      </w:r>
      <w:r>
        <w:rPr>
          <w:rFonts w:asciiTheme="majorBidi" w:hAnsiTheme="majorBidi" w:cstheme="majorBidi"/>
        </w:rPr>
        <w:t>”</w:t>
      </w:r>
      <w:r w:rsidRPr="007B542B">
        <w:rPr>
          <w:rFonts w:asciiTheme="majorBidi" w:hAnsiTheme="majorBidi" w:cstheme="majorBidi"/>
        </w:rPr>
        <w:t xml:space="preserve"> in the accompanying prospectus supplement. The following discussion, when read in combination with those sections, constitutes the full opinion of our special tax counsel, Davis Polk &amp; Wardwell LLP, regarding the material U.S. federal income tax consequences of owning and disposing of the </w:t>
      </w:r>
      <w:r>
        <w:rPr>
          <w:rFonts w:asciiTheme="majorBidi" w:hAnsiTheme="majorBidi" w:cstheme="majorBidi"/>
        </w:rPr>
        <w:t>Notes</w:t>
      </w:r>
      <w:r w:rsidRPr="007B542B">
        <w:rPr>
          <w:rFonts w:asciiTheme="majorBidi" w:hAnsiTheme="majorBidi" w:cstheme="majorBidi"/>
        </w:rPr>
        <w:t xml:space="preserve">. </w:t>
      </w:r>
      <w:r w:rsidR="00E40B31" w:rsidRPr="00E40B31">
        <w:rPr>
          <w:rFonts w:asciiTheme="majorBidi" w:hAnsiTheme="majorBidi" w:cstheme="majorBidi"/>
        </w:rPr>
        <w:t>The following discussion supersedes the discussion in the accompanying prospectus supplement to the extent it is inconsistent therewith.</w:t>
      </w:r>
    </w:p>
    <w:p w:rsidR="006539CF" w:rsidRDefault="00F67684">
      <w:pPr>
        <w:pStyle w:val="fdBodyText"/>
        <w:jc w:val="both"/>
        <w:rPr>
          <w:rFonts w:asciiTheme="majorBidi" w:hAnsiTheme="majorBidi" w:cstheme="majorBidi"/>
        </w:rPr>
      </w:pPr>
      <w:r w:rsidRPr="007B542B">
        <w:rPr>
          <w:rFonts w:asciiTheme="majorBidi" w:hAnsiTheme="majorBidi" w:cstheme="majorBidi"/>
        </w:rPr>
        <w:t xml:space="preserve">Based on current market conditions, in the opinion of our special tax counsel, it is reasonable to treat the </w:t>
      </w:r>
      <w:r>
        <w:rPr>
          <w:rFonts w:asciiTheme="majorBidi" w:hAnsiTheme="majorBidi" w:cstheme="majorBidi"/>
        </w:rPr>
        <w:t>Notes</w:t>
      </w:r>
      <w:r w:rsidRPr="007B542B">
        <w:rPr>
          <w:rFonts w:asciiTheme="majorBidi" w:hAnsiTheme="majorBidi" w:cstheme="majorBidi"/>
        </w:rPr>
        <w:t xml:space="preserve"> for U.S. federal income tax purposes as prepaid forward contracts with respect to the </w:t>
      </w:r>
      <w:r>
        <w:rPr>
          <w:rFonts w:asciiTheme="majorBidi" w:hAnsiTheme="majorBidi" w:cstheme="majorBidi"/>
        </w:rPr>
        <w:t>Reference Assets</w:t>
      </w:r>
      <w:r w:rsidRPr="007B542B">
        <w:rPr>
          <w:rFonts w:asciiTheme="majorBidi" w:hAnsiTheme="majorBidi" w:cstheme="majorBidi"/>
        </w:rPr>
        <w:t xml:space="preserve">. Assuming this treatment is respected, upon a sale or exchange of the </w:t>
      </w:r>
      <w:r>
        <w:rPr>
          <w:rFonts w:asciiTheme="majorBidi" w:hAnsiTheme="majorBidi" w:cstheme="majorBidi"/>
        </w:rPr>
        <w:t>Notes</w:t>
      </w:r>
      <w:r w:rsidRPr="007B542B">
        <w:rPr>
          <w:rFonts w:asciiTheme="majorBidi" w:hAnsiTheme="majorBidi" w:cstheme="majorBidi"/>
        </w:rPr>
        <w:t xml:space="preserve"> (including </w:t>
      </w:r>
      <w:r>
        <w:rPr>
          <w:rFonts w:asciiTheme="majorBidi" w:hAnsiTheme="majorBidi" w:cstheme="majorBidi"/>
        </w:rPr>
        <w:t>redemption at maturity</w:t>
      </w:r>
      <w:r w:rsidRPr="007B542B">
        <w:rPr>
          <w:rFonts w:asciiTheme="majorBidi" w:hAnsiTheme="majorBidi" w:cstheme="majorBidi"/>
        </w:rPr>
        <w:t xml:space="preserve">), you should recognize gain or loss equal to the difference between the amount realized on the sale or exchange and your tax basis in the </w:t>
      </w:r>
      <w:r>
        <w:rPr>
          <w:rFonts w:asciiTheme="majorBidi" w:hAnsiTheme="majorBidi" w:cstheme="majorBidi"/>
        </w:rPr>
        <w:t>Notes</w:t>
      </w:r>
      <w:r w:rsidRPr="007B542B">
        <w:rPr>
          <w:rFonts w:asciiTheme="majorBidi" w:hAnsiTheme="majorBidi" w:cstheme="majorBidi"/>
        </w:rPr>
        <w:t xml:space="preserve">, which should equal the amount you paid to acquire the </w:t>
      </w:r>
      <w:r>
        <w:rPr>
          <w:rFonts w:asciiTheme="majorBidi" w:hAnsiTheme="majorBidi" w:cstheme="majorBidi"/>
        </w:rPr>
        <w:t>Notes</w:t>
      </w:r>
      <w:r w:rsidRPr="007B542B">
        <w:rPr>
          <w:rFonts w:asciiTheme="majorBidi" w:hAnsiTheme="majorBidi" w:cstheme="majorBidi"/>
        </w:rPr>
        <w:t xml:space="preserve">. </w:t>
      </w:r>
      <w:r>
        <w:rPr>
          <w:rFonts w:asciiTheme="majorBidi" w:hAnsiTheme="majorBidi" w:cstheme="majorBidi"/>
        </w:rPr>
        <w:t>S</w:t>
      </w:r>
      <w:r w:rsidRPr="007B542B">
        <w:rPr>
          <w:rFonts w:asciiTheme="majorBidi" w:hAnsiTheme="majorBidi" w:cstheme="majorBidi"/>
        </w:rPr>
        <w:t>ubject to the application of the constructive ownership rules,</w:t>
      </w:r>
      <w:r>
        <w:rPr>
          <w:rFonts w:asciiTheme="majorBidi" w:hAnsiTheme="majorBidi" w:cstheme="majorBidi"/>
        </w:rPr>
        <w:t xml:space="preserve"> any</w:t>
      </w:r>
      <w:r w:rsidRPr="007B542B">
        <w:rPr>
          <w:rFonts w:asciiTheme="majorBidi" w:hAnsiTheme="majorBidi" w:cstheme="majorBidi"/>
        </w:rPr>
        <w:t xml:space="preserve"> gain or loss </w:t>
      </w:r>
      <w:r>
        <w:rPr>
          <w:rFonts w:asciiTheme="majorBidi" w:hAnsiTheme="majorBidi" w:cstheme="majorBidi"/>
        </w:rPr>
        <w:t xml:space="preserve">recognized </w:t>
      </w:r>
      <w:r w:rsidRPr="007B542B">
        <w:rPr>
          <w:rFonts w:asciiTheme="majorBidi" w:hAnsiTheme="majorBidi" w:cstheme="majorBidi"/>
        </w:rPr>
        <w:t xml:space="preserve">on your </w:t>
      </w:r>
      <w:r>
        <w:rPr>
          <w:rFonts w:asciiTheme="majorBidi" w:hAnsiTheme="majorBidi" w:cstheme="majorBidi"/>
        </w:rPr>
        <w:t>Notes</w:t>
      </w:r>
      <w:r w:rsidRPr="007B542B">
        <w:rPr>
          <w:rFonts w:asciiTheme="majorBidi" w:hAnsiTheme="majorBidi" w:cstheme="majorBidi"/>
        </w:rPr>
        <w:t xml:space="preserve"> should be treated as </w:t>
      </w:r>
      <w:r>
        <w:rPr>
          <w:rFonts w:asciiTheme="majorBidi" w:hAnsiTheme="majorBidi" w:cstheme="majorBidi"/>
        </w:rPr>
        <w:t>long-term capital gain or loss if you hold your Notes for more than a year</w:t>
      </w:r>
      <w:r w:rsidRPr="007B542B">
        <w:rPr>
          <w:rFonts w:asciiTheme="majorBidi" w:hAnsiTheme="majorBidi" w:cstheme="majorBidi"/>
        </w:rPr>
        <w:t xml:space="preserve">, whether or not you are an initial purchaser of </w:t>
      </w:r>
      <w:r>
        <w:rPr>
          <w:rFonts w:asciiTheme="majorBidi" w:hAnsiTheme="majorBidi" w:cstheme="majorBidi"/>
        </w:rPr>
        <w:t>Notes</w:t>
      </w:r>
      <w:r w:rsidRPr="007B542B">
        <w:rPr>
          <w:rFonts w:asciiTheme="majorBidi" w:hAnsiTheme="majorBidi" w:cstheme="majorBidi"/>
        </w:rPr>
        <w:t xml:space="preserve"> at the original issue price. The </w:t>
      </w:r>
      <w:r>
        <w:rPr>
          <w:rFonts w:asciiTheme="majorBidi" w:hAnsiTheme="majorBidi" w:cstheme="majorBidi"/>
        </w:rPr>
        <w:t>Notes</w:t>
      </w:r>
      <w:r w:rsidRPr="007B542B">
        <w:rPr>
          <w:rFonts w:asciiTheme="majorBidi" w:hAnsiTheme="majorBidi" w:cstheme="majorBidi"/>
        </w:rPr>
        <w:t xml:space="preserve"> could be treated as constructive ownership transactions within the meaning of Section 1260 of the Code, in which case any gain recognized in respect of the </w:t>
      </w:r>
      <w:r>
        <w:rPr>
          <w:rFonts w:asciiTheme="majorBidi" w:hAnsiTheme="majorBidi" w:cstheme="majorBidi"/>
        </w:rPr>
        <w:t>Notes</w:t>
      </w:r>
      <w:r w:rsidRPr="007B542B">
        <w:rPr>
          <w:rFonts w:asciiTheme="majorBidi" w:hAnsiTheme="majorBidi" w:cstheme="majorBidi"/>
        </w:rPr>
        <w:t xml:space="preserve"> that would otherwise be long-term capital gain and that was in excess of the </w:t>
      </w:r>
      <w:r>
        <w:rPr>
          <w:rFonts w:asciiTheme="majorBidi" w:hAnsiTheme="majorBidi" w:cstheme="majorBidi"/>
        </w:rPr>
        <w:t>“</w:t>
      </w:r>
      <w:r w:rsidRPr="007B542B">
        <w:rPr>
          <w:rFonts w:asciiTheme="majorBidi" w:hAnsiTheme="majorBidi" w:cstheme="majorBidi"/>
        </w:rPr>
        <w:t>net underlying long-term capital gain</w:t>
      </w:r>
      <w:r>
        <w:rPr>
          <w:rFonts w:asciiTheme="majorBidi" w:hAnsiTheme="majorBidi" w:cstheme="majorBidi"/>
        </w:rPr>
        <w:t>”</w:t>
      </w:r>
      <w:r w:rsidRPr="007B542B">
        <w:rPr>
          <w:rFonts w:asciiTheme="majorBidi" w:hAnsiTheme="majorBidi" w:cstheme="majorBidi"/>
        </w:rPr>
        <w:t xml:space="preserve"> (as defined in Section 1260) would be treated as ordinary income, and a notional interest charge would apply as if that income had accrued for tax purposes at a constant yield over the term of the </w:t>
      </w:r>
      <w:r>
        <w:rPr>
          <w:rFonts w:asciiTheme="majorBidi" w:hAnsiTheme="majorBidi" w:cstheme="majorBidi"/>
        </w:rPr>
        <w:t>Notes</w:t>
      </w:r>
      <w:r w:rsidRPr="007B542B">
        <w:rPr>
          <w:rFonts w:asciiTheme="majorBidi" w:hAnsiTheme="majorBidi" w:cstheme="majorBidi"/>
        </w:rPr>
        <w:t xml:space="preserve">. Our special tax counsel has not expressed an opinion with respect to whether the constructive ownership rules apply to the </w:t>
      </w:r>
      <w:r>
        <w:rPr>
          <w:rFonts w:asciiTheme="majorBidi" w:hAnsiTheme="majorBidi" w:cstheme="majorBidi"/>
        </w:rPr>
        <w:t>Notes</w:t>
      </w:r>
      <w:r w:rsidRPr="007B542B">
        <w:rPr>
          <w:rFonts w:asciiTheme="majorBidi" w:hAnsiTheme="majorBidi" w:cstheme="majorBidi"/>
        </w:rPr>
        <w:t>. Accordingly, U.S. holders should consult their tax advisors regarding the potential application of the constructive ownership rules.</w:t>
      </w:r>
    </w:p>
    <w:p w:rsidR="006539CF" w:rsidRDefault="00F67684">
      <w:pPr>
        <w:pStyle w:val="fdBodyText"/>
        <w:jc w:val="both"/>
        <w:rPr>
          <w:rFonts w:asciiTheme="majorBidi" w:hAnsiTheme="majorBidi" w:cstheme="majorBidi"/>
        </w:rPr>
      </w:pPr>
      <w:r w:rsidRPr="007B542B">
        <w:rPr>
          <w:rFonts w:asciiTheme="majorBidi" w:hAnsiTheme="majorBidi" w:cstheme="majorBidi"/>
        </w:rPr>
        <w:t xml:space="preserve">The IRS or a court may not respect the treatment of the </w:t>
      </w:r>
      <w:r>
        <w:rPr>
          <w:rFonts w:asciiTheme="majorBidi" w:hAnsiTheme="majorBidi" w:cstheme="majorBidi"/>
        </w:rPr>
        <w:t>Notes</w:t>
      </w:r>
      <w:r w:rsidRPr="007B542B">
        <w:rPr>
          <w:rFonts w:asciiTheme="majorBidi" w:hAnsiTheme="majorBidi" w:cstheme="majorBidi"/>
        </w:rPr>
        <w:t xml:space="preserve"> described above, in which case the timing and character of any income or loss on the </w:t>
      </w:r>
      <w:r>
        <w:rPr>
          <w:rFonts w:asciiTheme="majorBidi" w:hAnsiTheme="majorBidi" w:cstheme="majorBidi"/>
        </w:rPr>
        <w:t>Notes</w:t>
      </w:r>
      <w:r w:rsidRPr="007B542B">
        <w:rPr>
          <w:rFonts w:asciiTheme="majorBidi" w:hAnsiTheme="majorBidi" w:cstheme="majorBidi"/>
        </w:rPr>
        <w:t xml:space="preserve"> could be materially and adversely affected. In addition, in 2007 the U.S. Treasury Department and the IRS released a notice requesting comments on the U.S. federal income tax treatment of </w:t>
      </w:r>
      <w:r>
        <w:rPr>
          <w:rFonts w:asciiTheme="majorBidi" w:hAnsiTheme="majorBidi" w:cstheme="majorBidi"/>
        </w:rPr>
        <w:t>“</w:t>
      </w:r>
      <w:r w:rsidRPr="007B542B">
        <w:rPr>
          <w:rFonts w:asciiTheme="majorBidi" w:hAnsiTheme="majorBidi" w:cstheme="majorBidi"/>
        </w:rPr>
        <w:t>prepaid forward contracts</w:t>
      </w:r>
      <w:r>
        <w:rPr>
          <w:rFonts w:asciiTheme="majorBidi" w:hAnsiTheme="majorBidi" w:cstheme="majorBidi"/>
        </w:rPr>
        <w:t>”</w:t>
      </w:r>
      <w:r w:rsidRPr="007B542B">
        <w:rPr>
          <w:rFonts w:asciiTheme="majorBidi" w:hAnsiTheme="majorBidi" w:cstheme="majorBidi"/>
        </w:rPr>
        <w:t xml:space="preserve"> and similar instruments. The notice focuses in particular on whether to require investors in these instruments to accrue income over the term of their investment. It also asks for comments on a number of related topics, including the character of income or loss with respect to these instruments; the relevance of factors such as the nature of the underlying property to which the instruments are linked; the degree, if any, to which income (including any mandated accruals) realized by non-U.S. investors should be subject to withholding tax; and whether these instruments are or should be subject to the constructive ownership regime described above. While the notice requests comments on appropriate transition rules and effective dates, any Treasury regulations or other guidance promulgated after consideration of these issues could materially and adversely affect the tax consequences of an investment in the </w:t>
      </w:r>
      <w:r>
        <w:rPr>
          <w:rFonts w:asciiTheme="majorBidi" w:hAnsiTheme="majorBidi" w:cstheme="majorBidi"/>
        </w:rPr>
        <w:t>Notes</w:t>
      </w:r>
      <w:r w:rsidRPr="007B542B">
        <w:rPr>
          <w:rFonts w:asciiTheme="majorBidi" w:hAnsiTheme="majorBidi" w:cstheme="majorBidi"/>
        </w:rPr>
        <w:t xml:space="preserve">, possibly with retroactive effect. You should consult your tax advisor regarding the U.S. federal income tax consequences of an investment in the </w:t>
      </w:r>
      <w:r>
        <w:rPr>
          <w:rFonts w:asciiTheme="majorBidi" w:hAnsiTheme="majorBidi" w:cstheme="majorBidi"/>
        </w:rPr>
        <w:t>Notes</w:t>
      </w:r>
      <w:r w:rsidRPr="007B542B">
        <w:rPr>
          <w:rFonts w:asciiTheme="majorBidi" w:hAnsiTheme="majorBidi" w:cstheme="majorBidi"/>
        </w:rPr>
        <w:t>, including the potential application of the constructive ownership rules, possible alternative treatments and the issues presented by this notice.</w:t>
      </w:r>
    </w:p>
    <w:p w:rsidR="006539CF" w:rsidRDefault="00F67684" w:rsidP="0019079D">
      <w:pPr>
        <w:pStyle w:val="fdBodyText"/>
        <w:spacing w:after="120"/>
        <w:jc w:val="both"/>
        <w:rPr>
          <w:rFonts w:asciiTheme="majorBidi" w:hAnsiTheme="majorBidi" w:cstheme="majorBidi"/>
          <w:b/>
        </w:rPr>
      </w:pPr>
      <w:r w:rsidRPr="007B542B">
        <w:rPr>
          <w:rFonts w:asciiTheme="majorBidi" w:hAnsiTheme="majorBidi" w:cstheme="majorBidi"/>
        </w:rPr>
        <w:t xml:space="preserve">Treasury regulations under Section 871(m) </w:t>
      </w:r>
      <w:r w:rsidRPr="00E720E4">
        <w:rPr>
          <w:rFonts w:asciiTheme="majorBidi" w:hAnsiTheme="majorBidi" w:cstheme="majorBidi"/>
        </w:rPr>
        <w:t>generally impose</w:t>
      </w:r>
      <w:r w:rsidRPr="007B542B">
        <w:rPr>
          <w:rFonts w:asciiTheme="majorBidi" w:hAnsiTheme="majorBidi" w:cstheme="majorBidi"/>
        </w:rPr>
        <w:t xml:space="preserve"> a withholding tax on certain </w:t>
      </w:r>
      <w:r>
        <w:rPr>
          <w:rFonts w:asciiTheme="majorBidi" w:hAnsiTheme="majorBidi" w:cstheme="majorBidi"/>
        </w:rPr>
        <w:t>“</w:t>
      </w:r>
      <w:r w:rsidRPr="007B542B">
        <w:rPr>
          <w:rFonts w:asciiTheme="majorBidi" w:hAnsiTheme="majorBidi" w:cstheme="majorBidi"/>
        </w:rPr>
        <w:t>dividend equivalents</w:t>
      </w:r>
      <w:r>
        <w:rPr>
          <w:rFonts w:asciiTheme="majorBidi" w:hAnsiTheme="majorBidi" w:cstheme="majorBidi"/>
        </w:rPr>
        <w:t>”</w:t>
      </w:r>
      <w:r w:rsidRPr="007B542B">
        <w:rPr>
          <w:rFonts w:asciiTheme="majorBidi" w:hAnsiTheme="majorBidi" w:cstheme="majorBidi"/>
        </w:rPr>
        <w:t xml:space="preserve"> under certain </w:t>
      </w:r>
      <w:r>
        <w:rPr>
          <w:rFonts w:asciiTheme="majorBidi" w:hAnsiTheme="majorBidi" w:cstheme="majorBidi"/>
        </w:rPr>
        <w:t>“</w:t>
      </w:r>
      <w:r w:rsidRPr="007B542B">
        <w:rPr>
          <w:rFonts w:asciiTheme="majorBidi" w:hAnsiTheme="majorBidi" w:cstheme="majorBidi"/>
        </w:rPr>
        <w:t>equity linked instruments</w:t>
      </w:r>
      <w:r>
        <w:rPr>
          <w:rFonts w:asciiTheme="majorBidi" w:hAnsiTheme="majorBidi" w:cstheme="majorBidi"/>
        </w:rPr>
        <w:t>.”</w:t>
      </w:r>
      <w:r w:rsidRPr="007B542B">
        <w:rPr>
          <w:rFonts w:asciiTheme="majorBidi" w:hAnsiTheme="majorBidi" w:cstheme="majorBidi"/>
        </w:rPr>
        <w:t xml:space="preserve"> </w:t>
      </w:r>
      <w:r w:rsidRPr="00E720E4">
        <w:rPr>
          <w:rFonts w:asciiTheme="majorBidi" w:hAnsiTheme="majorBidi" w:cstheme="majorBidi"/>
        </w:rPr>
        <w:t>A recent IRS notice excludes from the scope of Section 871(m)</w:t>
      </w:r>
      <w:r w:rsidRPr="007B542B">
        <w:rPr>
          <w:rFonts w:asciiTheme="majorBidi" w:hAnsiTheme="majorBidi" w:cstheme="majorBidi"/>
        </w:rPr>
        <w:t xml:space="preserve"> instruments issued </w:t>
      </w:r>
      <w:r w:rsidRPr="00E720E4">
        <w:rPr>
          <w:rFonts w:asciiTheme="majorBidi" w:hAnsiTheme="majorBidi" w:cstheme="majorBidi"/>
        </w:rPr>
        <w:t xml:space="preserve">prior to January 1, </w:t>
      </w:r>
      <w:r w:rsidR="00E40B31">
        <w:rPr>
          <w:rFonts w:asciiTheme="majorBidi" w:hAnsiTheme="majorBidi" w:cstheme="majorBidi"/>
        </w:rPr>
        <w:t>2023</w:t>
      </w:r>
      <w:r w:rsidR="00E40B31" w:rsidRPr="007B542B">
        <w:rPr>
          <w:rFonts w:asciiTheme="majorBidi" w:hAnsiTheme="majorBidi" w:cstheme="majorBidi"/>
        </w:rPr>
        <w:t xml:space="preserve"> </w:t>
      </w:r>
      <w:r w:rsidRPr="007B542B">
        <w:rPr>
          <w:rFonts w:asciiTheme="majorBidi" w:hAnsiTheme="majorBidi" w:cstheme="majorBidi"/>
        </w:rPr>
        <w:t xml:space="preserve">that do not have a </w:t>
      </w:r>
      <w:r>
        <w:rPr>
          <w:rFonts w:asciiTheme="majorBidi" w:hAnsiTheme="majorBidi" w:cstheme="majorBidi"/>
        </w:rPr>
        <w:t>“</w:t>
      </w:r>
      <w:r w:rsidRPr="007B542B">
        <w:rPr>
          <w:rFonts w:asciiTheme="majorBidi" w:hAnsiTheme="majorBidi" w:cstheme="majorBidi"/>
        </w:rPr>
        <w:t>delta of one</w:t>
      </w:r>
      <w:r>
        <w:rPr>
          <w:rFonts w:asciiTheme="majorBidi" w:hAnsiTheme="majorBidi" w:cstheme="majorBidi"/>
        </w:rPr>
        <w:t>”</w:t>
      </w:r>
      <w:r w:rsidRPr="007B542B">
        <w:rPr>
          <w:rFonts w:asciiTheme="majorBidi" w:hAnsiTheme="majorBidi" w:cstheme="majorBidi"/>
        </w:rPr>
        <w:t xml:space="preserve"> with respect to underlying securities that could pay U.S.-source dividends for U.S. federal income tax purposes (each an </w:t>
      </w:r>
      <w:r>
        <w:rPr>
          <w:rFonts w:asciiTheme="majorBidi" w:hAnsiTheme="majorBidi" w:cstheme="majorBidi"/>
        </w:rPr>
        <w:t>“</w:t>
      </w:r>
      <w:r w:rsidRPr="007B542B">
        <w:rPr>
          <w:rFonts w:asciiTheme="majorBidi" w:hAnsiTheme="majorBidi" w:cstheme="majorBidi"/>
        </w:rPr>
        <w:t>Underlying Security</w:t>
      </w:r>
      <w:r>
        <w:rPr>
          <w:rFonts w:asciiTheme="majorBidi" w:hAnsiTheme="majorBidi" w:cstheme="majorBidi"/>
        </w:rPr>
        <w:t>”</w:t>
      </w:r>
      <w:r w:rsidRPr="007B542B">
        <w:rPr>
          <w:rFonts w:asciiTheme="majorBidi" w:hAnsiTheme="majorBidi" w:cstheme="majorBidi"/>
        </w:rPr>
        <w:t xml:space="preserve">). Based on our determination that the </w:t>
      </w:r>
      <w:r>
        <w:rPr>
          <w:rFonts w:asciiTheme="majorBidi" w:hAnsiTheme="majorBidi" w:cstheme="majorBidi"/>
        </w:rPr>
        <w:t>Notes</w:t>
      </w:r>
      <w:r w:rsidRPr="007B542B">
        <w:rPr>
          <w:rFonts w:asciiTheme="majorBidi" w:hAnsiTheme="majorBidi" w:cstheme="majorBidi"/>
        </w:rPr>
        <w:t xml:space="preserve"> do not have a </w:t>
      </w:r>
      <w:r>
        <w:rPr>
          <w:rFonts w:asciiTheme="majorBidi" w:hAnsiTheme="majorBidi" w:cstheme="majorBidi"/>
        </w:rPr>
        <w:t>“</w:t>
      </w:r>
      <w:r w:rsidRPr="007B542B">
        <w:rPr>
          <w:rFonts w:asciiTheme="majorBidi" w:hAnsiTheme="majorBidi" w:cstheme="majorBidi"/>
        </w:rPr>
        <w:t>delta of one</w:t>
      </w:r>
      <w:r>
        <w:rPr>
          <w:rFonts w:asciiTheme="majorBidi" w:hAnsiTheme="majorBidi" w:cstheme="majorBidi"/>
        </w:rPr>
        <w:t>”</w:t>
      </w:r>
      <w:r w:rsidRPr="007B542B">
        <w:rPr>
          <w:rFonts w:asciiTheme="majorBidi" w:hAnsiTheme="majorBidi" w:cstheme="majorBidi"/>
        </w:rPr>
        <w:t xml:space="preserve"> within the meaning of the regulations, we expect that these regulations will not apply to the </w:t>
      </w:r>
      <w:r>
        <w:rPr>
          <w:rFonts w:asciiTheme="majorBidi" w:hAnsiTheme="majorBidi" w:cstheme="majorBidi"/>
        </w:rPr>
        <w:t>Notes</w:t>
      </w:r>
      <w:r w:rsidRPr="007B542B">
        <w:rPr>
          <w:rFonts w:asciiTheme="majorBidi" w:hAnsiTheme="majorBidi" w:cstheme="majorBidi"/>
        </w:rPr>
        <w:t xml:space="preserve"> with regard to non-U.S. holders. Our determination is not binding on the IRS, and the IRS may disagree with this determination. Section 871(m) is complex and its application may depend on your particular circumstances, including whether you enter into other transactions with respect to an Underlying Security. If necessary, further information regarding the potential application of Section 871(m) will be provided in the pricing supplement for the </w:t>
      </w:r>
      <w:r>
        <w:rPr>
          <w:rFonts w:asciiTheme="majorBidi" w:hAnsiTheme="majorBidi" w:cstheme="majorBidi"/>
        </w:rPr>
        <w:t>Notes</w:t>
      </w:r>
      <w:r w:rsidRPr="007B542B">
        <w:rPr>
          <w:rFonts w:asciiTheme="majorBidi" w:hAnsiTheme="majorBidi" w:cstheme="majorBidi"/>
        </w:rPr>
        <w:t xml:space="preserve">. You should consult your tax advisor regarding the potential application of Section 871(m) to the </w:t>
      </w:r>
      <w:r>
        <w:rPr>
          <w:rFonts w:asciiTheme="majorBidi" w:hAnsiTheme="majorBidi" w:cstheme="majorBidi"/>
        </w:rPr>
        <w:t>Notes</w:t>
      </w:r>
      <w:r w:rsidRPr="007B542B">
        <w:rPr>
          <w:rFonts w:asciiTheme="majorBidi" w:hAnsiTheme="majorBidi" w:cstheme="majorBidi"/>
        </w:rPr>
        <w:t>.</w:t>
      </w:r>
      <w:r w:rsidRPr="00FE5606">
        <w:rPr>
          <w:rFonts w:asciiTheme="majorBidi" w:hAnsiTheme="majorBidi" w:cstheme="majorBidi"/>
          <w:b/>
        </w:rPr>
        <w:t xml:space="preserve"> </w:t>
      </w:r>
    </w:p>
    <w:p w:rsidR="008A5210" w:rsidRDefault="008A5210" w:rsidP="0019079D">
      <w:pPr>
        <w:spacing w:after="120"/>
        <w:jc w:val="both"/>
        <w:rPr>
          <w:rFonts w:asciiTheme="majorBidi" w:hAnsiTheme="majorBidi" w:cstheme="majorBidi"/>
          <w:szCs w:val="20"/>
        </w:rPr>
      </w:pPr>
    </w:p>
    <w:p w:rsidR="008A5210" w:rsidRDefault="008A5210">
      <w:pPr>
        <w:pStyle w:val="fdBodyText"/>
        <w:jc w:val="both"/>
        <w:rPr>
          <w:rFonts w:asciiTheme="majorBidi" w:hAnsiTheme="majorBidi" w:cstheme="majorBidi"/>
          <w:b/>
        </w:rPr>
      </w:pPr>
    </w:p>
    <w:p w:rsidR="00F67684" w:rsidRDefault="00F67684">
      <w:pPr>
        <w:rPr>
          <w:rStyle w:val="StyleHeading11Arial10ptBoldNotItalicBlackChar"/>
          <w:rFonts w:ascii="Times New Roman" w:hAnsi="Times New Roman"/>
          <w:szCs w:val="20"/>
        </w:rPr>
      </w:pPr>
      <w:r>
        <w:rPr>
          <w:rStyle w:val="StyleHeading11Arial10ptBoldNotItalicBlackChar"/>
          <w:rFonts w:ascii="Times New Roman" w:hAnsi="Times New Roman"/>
          <w:szCs w:val="20"/>
        </w:rPr>
        <w:br w:type="page"/>
      </w:r>
    </w:p>
    <w:p w:rsidR="006539CF" w:rsidRDefault="0008324C">
      <w:pPr>
        <w:pStyle w:val="Bullet"/>
        <w:numPr>
          <w:ilvl w:val="0"/>
          <w:numId w:val="0"/>
        </w:numPr>
        <w:contextualSpacing w:val="0"/>
        <w:jc w:val="both"/>
        <w:rPr>
          <w:rStyle w:val="StyleHeading11Arial10ptBoldNotItalicBlackChar"/>
          <w:rFonts w:ascii="Times New Roman" w:hAnsi="Times New Roman"/>
          <w:b w:val="0"/>
          <w:bCs w:val="0"/>
          <w:szCs w:val="20"/>
        </w:rPr>
      </w:pPr>
      <w:r>
        <w:rPr>
          <w:rStyle w:val="StyleHeading11Arial10ptBoldNotItalicBlackChar"/>
          <w:rFonts w:ascii="Times New Roman" w:hAnsi="Times New Roman"/>
          <w:szCs w:val="20"/>
        </w:rPr>
        <w:t>SUPPLEMENTAL PLAN OF DISTRIBUTION</w:t>
      </w:r>
    </w:p>
    <w:p w:rsidR="0008324C" w:rsidRPr="008E6B45" w:rsidRDefault="0008324C" w:rsidP="0008324C">
      <w:pPr>
        <w:pStyle w:val="BodyText1"/>
        <w:jc w:val="both"/>
        <w:rPr>
          <w:color w:val="000000"/>
          <w:szCs w:val="20"/>
          <w:lang w:eastAsia="en-US"/>
        </w:rPr>
      </w:pPr>
      <w:r>
        <w:rPr>
          <w:color w:val="000000"/>
          <w:szCs w:val="20"/>
          <w:lang w:val="en-US" w:eastAsia="en-US"/>
        </w:rPr>
        <w:t xml:space="preserve">We will agree to sell to </w:t>
      </w:r>
      <w:r w:rsidRPr="008E6B45">
        <w:rPr>
          <w:color w:val="000000"/>
          <w:szCs w:val="20"/>
          <w:lang w:val="en-US" w:eastAsia="en-US"/>
        </w:rPr>
        <w:t>Barclays Capital Inc. (the “</w:t>
      </w:r>
      <w:r w:rsidR="005A4DBF" w:rsidRPr="005A4DBF">
        <w:rPr>
          <w:bCs/>
          <w:color w:val="000000"/>
          <w:szCs w:val="20"/>
          <w:lang w:val="en-US" w:eastAsia="en-US"/>
        </w:rPr>
        <w:t>Agent</w:t>
      </w:r>
      <w:r w:rsidRPr="008E6B45">
        <w:rPr>
          <w:color w:val="000000"/>
          <w:szCs w:val="20"/>
          <w:lang w:val="en-US" w:eastAsia="en-US"/>
        </w:rPr>
        <w:t>”), and the Agent will agree to purchase from us, the principal amount of the Notes, and at the price, specified on the cover of th</w:t>
      </w:r>
      <w:r w:rsidR="004261D3">
        <w:rPr>
          <w:color w:val="000000"/>
          <w:szCs w:val="20"/>
          <w:lang w:val="en-US" w:eastAsia="en-US"/>
        </w:rPr>
        <w:t>is</w:t>
      </w:r>
      <w:r w:rsidR="005A4DBF">
        <w:rPr>
          <w:color w:val="000000"/>
          <w:szCs w:val="20"/>
          <w:lang w:val="en-US" w:eastAsia="en-US"/>
        </w:rPr>
        <w:t xml:space="preserve"> pricing supplement. The Agent will commit to take and pay for all of the Notes, if any are taken.</w:t>
      </w:r>
      <w:r w:rsidR="005A4DBF">
        <w:rPr>
          <w:color w:val="000000"/>
          <w:szCs w:val="20"/>
          <w:lang w:eastAsia="en-US"/>
        </w:rPr>
        <w:t xml:space="preserve"> </w:t>
      </w:r>
    </w:p>
    <w:p w:rsidR="006E1B2A" w:rsidRPr="006E1B2A" w:rsidRDefault="006E1B2A" w:rsidP="006E1B2A">
      <w:pPr>
        <w:spacing w:after="360"/>
        <w:jc w:val="both"/>
        <w:rPr>
          <w:lang w:val="en-US"/>
        </w:rPr>
      </w:pPr>
    </w:p>
    <w:p w:rsidR="00A67550" w:rsidRDefault="00A67550" w:rsidP="00A67550">
      <w:pPr>
        <w:spacing w:after="360"/>
        <w:jc w:val="both"/>
      </w:pPr>
    </w:p>
    <w:p w:rsidR="00261235" w:rsidRDefault="00261235">
      <w:pPr>
        <w:spacing w:after="120"/>
        <w:jc w:val="both"/>
        <w:rPr>
          <w:bCs/>
          <w:i/>
        </w:rPr>
      </w:pPr>
    </w:p>
    <w:sectPr w:rsidR="00261235" w:rsidSect="006B0B8C">
      <w:footerReference w:type="even" r:id="rId16"/>
      <w:footerReference w:type="default" r:id="rId17"/>
      <w:headerReference w:type="first" r:id="rId18"/>
      <w:pgSz w:w="12240" w:h="15840"/>
      <w:pgMar w:top="533" w:right="763" w:bottom="180" w:left="720" w:header="187" w:footer="2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E04" w:rsidRDefault="007C5E04">
      <w:r>
        <w:separator/>
      </w:r>
    </w:p>
  </w:endnote>
  <w:endnote w:type="continuationSeparator" w:id="0">
    <w:p w:rsidR="007C5E04" w:rsidRDefault="007C5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Barclays Sans">
    <w:altName w:val="Arial"/>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xpert Serif Regular">
    <w:charset w:val="00"/>
    <w:family w:val="swiss"/>
    <w:pitch w:val="default"/>
    <w:sig w:usb0="00000000" w:usb1="00000000" w:usb2="00000000" w:usb3="00000000" w:csb0="00000001" w:csb1="00000000"/>
  </w:font>
  <w:font w:name="Times New Roman Bold">
    <w:panose1 w:val="02020803070505020304"/>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E04" w:rsidRDefault="007C5E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C5E04" w:rsidRDefault="007C5E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E04" w:rsidRDefault="007C5E04" w:rsidP="001725AA">
    <w:pPr>
      <w:pStyle w:val="Footer"/>
      <w:tabs>
        <w:tab w:val="left" w:pos="2367"/>
        <w:tab w:val="center" w:pos="5400"/>
      </w:tabs>
      <w:jc w:val="center"/>
    </w:pPr>
    <w:r>
      <w:t>PS</w:t>
    </w:r>
    <w:r>
      <w:rPr>
        <w:sz w:val="14"/>
        <w:szCs w:val="14"/>
      </w:rPr>
      <w:t>–</w:t>
    </w:r>
    <w:r>
      <w:rPr>
        <w:noProof/>
      </w:rPr>
      <w:fldChar w:fldCharType="begin"/>
    </w:r>
    <w:r>
      <w:rPr>
        <w:noProof/>
      </w:rPr>
      <w:instrText xml:space="preserve"> PAGE   \* MERGEFORMAT </w:instrText>
    </w:r>
    <w:r>
      <w:rPr>
        <w:noProof/>
      </w:rPr>
      <w:fldChar w:fldCharType="separate"/>
    </w:r>
    <w:r w:rsidR="00463611">
      <w:rPr>
        <w:noProof/>
      </w:rPr>
      <w:t>14</w:t>
    </w:r>
    <w:r>
      <w:rPr>
        <w:noProof/>
      </w:rPr>
      <w:fldChar w:fldCharType="end"/>
    </w:r>
  </w:p>
  <w:p w:rsidR="007C5E04" w:rsidRPr="00CA18E8" w:rsidRDefault="007C5E04" w:rsidP="001725AA">
    <w:pPr>
      <w:pStyle w:val="Footer"/>
      <w:tabs>
        <w:tab w:val="left" w:pos="2367"/>
        <w:tab w:val="center" w:pos="5400"/>
      </w:tabs>
      <w:jc w:val="center"/>
      <w:rPr>
        <w:rFonts w:ascii="Barclays Sans" w:hAnsi="Barclays Sans"/>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E04" w:rsidRDefault="007C5E04">
      <w:r>
        <w:separator/>
      </w:r>
    </w:p>
  </w:footnote>
  <w:footnote w:type="continuationSeparator" w:id="0">
    <w:p w:rsidR="007C5E04" w:rsidRDefault="007C5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E04" w:rsidRPr="00E6789B" w:rsidRDefault="007C5E04">
    <w:pPr>
      <w:pStyle w:val="CoverSubtitle"/>
      <w:spacing w:after="0"/>
      <w:rPr>
        <w:rFonts w:ascii="Times New Roman" w:hAnsi="Times New Roman" w:cs="Times New Roman"/>
        <w:color w:val="FF0000"/>
        <w:sz w:val="16"/>
        <w:szCs w:val="16"/>
      </w:rPr>
    </w:pPr>
    <w:r w:rsidRPr="00E6789B">
      <w:rPr>
        <w:rFonts w:ascii="Times New Roman" w:hAnsi="Times New Roman" w:cs="Times New Roman"/>
        <w:color w:val="FF0000"/>
        <w:sz w:val="16"/>
        <w:szCs w:val="16"/>
      </w:rPr>
      <w:t>Subject to Completion</w:t>
    </w:r>
  </w:p>
  <w:p w:rsidR="007C5E04" w:rsidRPr="00E6789B" w:rsidRDefault="007C5E04">
    <w:pPr>
      <w:pStyle w:val="Header"/>
      <w:jc w:val="center"/>
      <w:rPr>
        <w:b/>
        <w:sz w:val="16"/>
        <w:szCs w:val="16"/>
      </w:rPr>
    </w:pPr>
    <w:r w:rsidRPr="00E6789B">
      <w:rPr>
        <w:b/>
        <w:color w:val="FF0000"/>
        <w:sz w:val="16"/>
        <w:szCs w:val="16"/>
      </w:rPr>
      <w:t xml:space="preserve">Preliminary Pricing </w:t>
    </w:r>
    <w:r w:rsidRPr="00E6789B">
      <w:rPr>
        <w:rFonts w:eastAsia="Times New Roman"/>
        <w:b/>
        <w:bCs/>
        <w:color w:val="FF0000"/>
        <w:sz w:val="16"/>
        <w:szCs w:val="16"/>
        <w:lang w:val="en-US" w:eastAsia="en-US"/>
      </w:rPr>
      <w:t xml:space="preserve">Supplement dated </w:t>
    </w:r>
    <w:r>
      <w:rPr>
        <w:rFonts w:eastAsia="Times New Roman"/>
        <w:b/>
        <w:bCs/>
        <w:color w:val="FF0000"/>
        <w:sz w:val="16"/>
        <w:szCs w:val="16"/>
        <w:lang w:val="en-US" w:eastAsia="en-US"/>
      </w:rPr>
      <w:t xml:space="preserve">January </w:t>
    </w:r>
    <w:r w:rsidR="00463611">
      <w:rPr>
        <w:rFonts w:eastAsia="Times New Roman"/>
        <w:b/>
        <w:bCs/>
        <w:color w:val="FF0000"/>
        <w:sz w:val="16"/>
        <w:szCs w:val="16"/>
        <w:lang w:val="en-US" w:eastAsia="en-US"/>
      </w:rPr>
      <w:t>8</w:t>
    </w:r>
    <w:r>
      <w:rPr>
        <w:rFonts w:eastAsia="Times New Roman"/>
        <w:b/>
        <w:bCs/>
        <w:color w:val="FF0000"/>
        <w:sz w:val="16"/>
        <w:szCs w:val="16"/>
        <w:lang w:val="en-US" w:eastAsia="en-US"/>
      </w:rPr>
      <w:t>, 2020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CCC404B4"/>
    <w:lvl w:ilvl="0">
      <w:start w:val="1"/>
      <w:numFmt w:val="decimal"/>
      <w:pStyle w:val="ListNumber3"/>
      <w:lvlText w:val="%1."/>
      <w:lvlJc w:val="left"/>
      <w:pPr>
        <w:tabs>
          <w:tab w:val="num" w:pos="926"/>
        </w:tabs>
        <w:ind w:left="926" w:hanging="360"/>
      </w:pPr>
    </w:lvl>
  </w:abstractNum>
  <w:abstractNum w:abstractNumId="1" w15:restartNumberingAfterBreak="0">
    <w:nsid w:val="FFFFFFFE"/>
    <w:multiLevelType w:val="singleLevel"/>
    <w:tmpl w:val="9216BCC8"/>
    <w:lvl w:ilvl="0">
      <w:numFmt w:val="bullet"/>
      <w:lvlText w:val="*"/>
      <w:lvlJc w:val="left"/>
    </w:lvl>
  </w:abstractNum>
  <w:abstractNum w:abstractNumId="2" w15:restartNumberingAfterBreak="0">
    <w:nsid w:val="09801ACE"/>
    <w:multiLevelType w:val="hybridMultilevel"/>
    <w:tmpl w:val="1E2CCA7C"/>
    <w:lvl w:ilvl="0" w:tplc="302093F2">
      <w:start w:val="1"/>
      <w:numFmt w:val="bullet"/>
      <w:lvlText w:val=""/>
      <w:lvlJc w:val="left"/>
      <w:pPr>
        <w:ind w:left="644"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3184C"/>
    <w:multiLevelType w:val="hybridMultilevel"/>
    <w:tmpl w:val="A0C04FA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F6F3D46"/>
    <w:multiLevelType w:val="hybridMultilevel"/>
    <w:tmpl w:val="95E891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AC6E80"/>
    <w:multiLevelType w:val="hybridMultilevel"/>
    <w:tmpl w:val="0200FE7C"/>
    <w:lvl w:ilvl="0" w:tplc="DABE5228">
      <w:start w:val="1"/>
      <w:numFmt w:val="bullet"/>
      <w:pStyle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D014C2"/>
    <w:multiLevelType w:val="hybridMultilevel"/>
    <w:tmpl w:val="24368718"/>
    <w:lvl w:ilvl="0" w:tplc="757EEA04">
      <w:start w:val="1"/>
      <w:numFmt w:val="bullet"/>
      <w:lvlText w:val=""/>
      <w:lvlJc w:val="left"/>
      <w:pPr>
        <w:tabs>
          <w:tab w:val="num" w:pos="1080"/>
        </w:tabs>
        <w:ind w:left="108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5D4AF2"/>
    <w:multiLevelType w:val="hybridMultilevel"/>
    <w:tmpl w:val="1E807C2C"/>
    <w:lvl w:ilvl="0" w:tplc="F3A0F3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31436C"/>
    <w:multiLevelType w:val="hybridMultilevel"/>
    <w:tmpl w:val="8710E4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C6708B"/>
    <w:multiLevelType w:val="hybridMultilevel"/>
    <w:tmpl w:val="CBCCC89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491431"/>
    <w:multiLevelType w:val="hybridMultilevel"/>
    <w:tmpl w:val="8E2821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5B463F"/>
    <w:multiLevelType w:val="hybridMultilevel"/>
    <w:tmpl w:val="1E34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C5F06"/>
    <w:multiLevelType w:val="hybridMultilevel"/>
    <w:tmpl w:val="78C49C0A"/>
    <w:lvl w:ilvl="0" w:tplc="C64018E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13" w15:restartNumberingAfterBreak="0">
    <w:nsid w:val="335B6D07"/>
    <w:multiLevelType w:val="hybridMultilevel"/>
    <w:tmpl w:val="53D8E5B6"/>
    <w:lvl w:ilvl="0" w:tplc="08090005">
      <w:start w:val="1"/>
      <w:numFmt w:val="bullet"/>
      <w:lvlText w:val=""/>
      <w:lvlJc w:val="left"/>
      <w:pPr>
        <w:ind w:left="1082" w:hanging="360"/>
      </w:pPr>
      <w:rPr>
        <w:rFonts w:ascii="Wingdings" w:hAnsi="Wingdings"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14" w15:restartNumberingAfterBreak="0">
    <w:nsid w:val="34607B71"/>
    <w:multiLevelType w:val="hybridMultilevel"/>
    <w:tmpl w:val="BCB040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5709F8"/>
    <w:multiLevelType w:val="hybridMultilevel"/>
    <w:tmpl w:val="412A3D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195B19"/>
    <w:multiLevelType w:val="hybridMultilevel"/>
    <w:tmpl w:val="1ADE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A5B23"/>
    <w:multiLevelType w:val="hybridMultilevel"/>
    <w:tmpl w:val="4DCE514E"/>
    <w:lvl w:ilvl="0" w:tplc="B4D60E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721284"/>
    <w:multiLevelType w:val="hybridMultilevel"/>
    <w:tmpl w:val="119A9DE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DB60E6E"/>
    <w:multiLevelType w:val="hybridMultilevel"/>
    <w:tmpl w:val="9022E358"/>
    <w:lvl w:ilvl="0" w:tplc="302093F2">
      <w:start w:val="1"/>
      <w:numFmt w:val="bullet"/>
      <w:lvlText w:val=""/>
      <w:lvlJc w:val="left"/>
      <w:pPr>
        <w:tabs>
          <w:tab w:val="num" w:pos="644"/>
        </w:tabs>
        <w:ind w:left="644" w:hanging="360"/>
      </w:pPr>
      <w:rPr>
        <w:rFonts w:ascii="Symbol" w:hAnsi="Symbol" w:hint="default"/>
        <w:color w:val="auto"/>
        <w:sz w:val="18"/>
        <w:szCs w:val="18"/>
      </w:rPr>
    </w:lvl>
    <w:lvl w:ilvl="1" w:tplc="08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120C24"/>
    <w:multiLevelType w:val="multilevel"/>
    <w:tmpl w:val="0054DA7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E140256"/>
    <w:multiLevelType w:val="hybridMultilevel"/>
    <w:tmpl w:val="731C5C54"/>
    <w:lvl w:ilvl="0" w:tplc="E2928590">
      <w:start w:val="1"/>
      <w:numFmt w:val="bullet"/>
      <w:lvlText w:val=""/>
      <w:lvlJc w:val="left"/>
      <w:pPr>
        <w:ind w:left="720" w:hanging="360"/>
      </w:pPr>
      <w:rPr>
        <w:rFonts w:ascii="Symbol" w:hAnsi="Symbol" w:hint="default"/>
      </w:rPr>
    </w:lvl>
    <w:lvl w:ilvl="1" w:tplc="555AE692" w:tentative="1">
      <w:start w:val="1"/>
      <w:numFmt w:val="bullet"/>
      <w:lvlText w:val="o"/>
      <w:lvlJc w:val="left"/>
      <w:pPr>
        <w:ind w:left="1440" w:hanging="360"/>
      </w:pPr>
      <w:rPr>
        <w:rFonts w:ascii="Courier New" w:hAnsi="Courier New" w:cs="Courier New" w:hint="default"/>
      </w:rPr>
    </w:lvl>
    <w:lvl w:ilvl="2" w:tplc="2CE47128" w:tentative="1">
      <w:start w:val="1"/>
      <w:numFmt w:val="bullet"/>
      <w:lvlText w:val=""/>
      <w:lvlJc w:val="left"/>
      <w:pPr>
        <w:ind w:left="2160" w:hanging="360"/>
      </w:pPr>
      <w:rPr>
        <w:rFonts w:ascii="Wingdings" w:hAnsi="Wingdings" w:hint="default"/>
      </w:rPr>
    </w:lvl>
    <w:lvl w:ilvl="3" w:tplc="8F60FFF8" w:tentative="1">
      <w:start w:val="1"/>
      <w:numFmt w:val="bullet"/>
      <w:lvlText w:val=""/>
      <w:lvlJc w:val="left"/>
      <w:pPr>
        <w:ind w:left="2880" w:hanging="360"/>
      </w:pPr>
      <w:rPr>
        <w:rFonts w:ascii="Symbol" w:hAnsi="Symbol" w:hint="default"/>
      </w:rPr>
    </w:lvl>
    <w:lvl w:ilvl="4" w:tplc="7632EC46" w:tentative="1">
      <w:start w:val="1"/>
      <w:numFmt w:val="bullet"/>
      <w:lvlText w:val="o"/>
      <w:lvlJc w:val="left"/>
      <w:pPr>
        <w:ind w:left="3600" w:hanging="360"/>
      </w:pPr>
      <w:rPr>
        <w:rFonts w:ascii="Courier New" w:hAnsi="Courier New" w:cs="Courier New" w:hint="default"/>
      </w:rPr>
    </w:lvl>
    <w:lvl w:ilvl="5" w:tplc="E766C812" w:tentative="1">
      <w:start w:val="1"/>
      <w:numFmt w:val="bullet"/>
      <w:lvlText w:val=""/>
      <w:lvlJc w:val="left"/>
      <w:pPr>
        <w:ind w:left="4320" w:hanging="360"/>
      </w:pPr>
      <w:rPr>
        <w:rFonts w:ascii="Wingdings" w:hAnsi="Wingdings" w:hint="default"/>
      </w:rPr>
    </w:lvl>
    <w:lvl w:ilvl="6" w:tplc="117E6D22" w:tentative="1">
      <w:start w:val="1"/>
      <w:numFmt w:val="bullet"/>
      <w:lvlText w:val=""/>
      <w:lvlJc w:val="left"/>
      <w:pPr>
        <w:ind w:left="5040" w:hanging="360"/>
      </w:pPr>
      <w:rPr>
        <w:rFonts w:ascii="Symbol" w:hAnsi="Symbol" w:hint="default"/>
      </w:rPr>
    </w:lvl>
    <w:lvl w:ilvl="7" w:tplc="50482940" w:tentative="1">
      <w:start w:val="1"/>
      <w:numFmt w:val="bullet"/>
      <w:lvlText w:val="o"/>
      <w:lvlJc w:val="left"/>
      <w:pPr>
        <w:ind w:left="5760" w:hanging="360"/>
      </w:pPr>
      <w:rPr>
        <w:rFonts w:ascii="Courier New" w:hAnsi="Courier New" w:cs="Courier New" w:hint="default"/>
      </w:rPr>
    </w:lvl>
    <w:lvl w:ilvl="8" w:tplc="F70AE28C" w:tentative="1">
      <w:start w:val="1"/>
      <w:numFmt w:val="bullet"/>
      <w:lvlText w:val=""/>
      <w:lvlJc w:val="left"/>
      <w:pPr>
        <w:ind w:left="6480" w:hanging="360"/>
      </w:pPr>
      <w:rPr>
        <w:rFonts w:ascii="Wingdings" w:hAnsi="Wingdings" w:hint="default"/>
      </w:rPr>
    </w:lvl>
  </w:abstractNum>
  <w:abstractNum w:abstractNumId="22" w15:restartNumberingAfterBreak="0">
    <w:nsid w:val="646E16AF"/>
    <w:multiLevelType w:val="hybridMultilevel"/>
    <w:tmpl w:val="C6F8966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5FA75E3"/>
    <w:multiLevelType w:val="hybridMultilevel"/>
    <w:tmpl w:val="B5701932"/>
    <w:lvl w:ilvl="0" w:tplc="4ABA2D8E">
      <w:start w:val="1"/>
      <w:numFmt w:val="decimal"/>
      <w:lvlText w:val="(%1)"/>
      <w:lvlJc w:val="left"/>
      <w:pPr>
        <w:ind w:left="360" w:hanging="360"/>
      </w:pPr>
      <w:rPr>
        <w:rFonts w:hint="default"/>
        <w:sz w:val="16"/>
      </w:rPr>
    </w:lvl>
    <w:lvl w:ilvl="1" w:tplc="104453CA" w:tentative="1">
      <w:start w:val="1"/>
      <w:numFmt w:val="lowerLetter"/>
      <w:lvlText w:val="%2."/>
      <w:lvlJc w:val="left"/>
      <w:pPr>
        <w:ind w:left="1080" w:hanging="360"/>
      </w:pPr>
    </w:lvl>
    <w:lvl w:ilvl="2" w:tplc="026886D4" w:tentative="1">
      <w:start w:val="1"/>
      <w:numFmt w:val="lowerRoman"/>
      <w:lvlText w:val="%3."/>
      <w:lvlJc w:val="right"/>
      <w:pPr>
        <w:ind w:left="1800" w:hanging="180"/>
      </w:pPr>
    </w:lvl>
    <w:lvl w:ilvl="3" w:tplc="180C08DC" w:tentative="1">
      <w:start w:val="1"/>
      <w:numFmt w:val="decimal"/>
      <w:lvlText w:val="%4."/>
      <w:lvlJc w:val="left"/>
      <w:pPr>
        <w:ind w:left="2520" w:hanging="360"/>
      </w:pPr>
    </w:lvl>
    <w:lvl w:ilvl="4" w:tplc="581CB796" w:tentative="1">
      <w:start w:val="1"/>
      <w:numFmt w:val="lowerLetter"/>
      <w:lvlText w:val="%5."/>
      <w:lvlJc w:val="left"/>
      <w:pPr>
        <w:ind w:left="3240" w:hanging="360"/>
      </w:pPr>
    </w:lvl>
    <w:lvl w:ilvl="5" w:tplc="74CC551C" w:tentative="1">
      <w:start w:val="1"/>
      <w:numFmt w:val="lowerRoman"/>
      <w:lvlText w:val="%6."/>
      <w:lvlJc w:val="right"/>
      <w:pPr>
        <w:ind w:left="3960" w:hanging="180"/>
      </w:pPr>
    </w:lvl>
    <w:lvl w:ilvl="6" w:tplc="90627E82" w:tentative="1">
      <w:start w:val="1"/>
      <w:numFmt w:val="decimal"/>
      <w:lvlText w:val="%7."/>
      <w:lvlJc w:val="left"/>
      <w:pPr>
        <w:ind w:left="4680" w:hanging="360"/>
      </w:pPr>
    </w:lvl>
    <w:lvl w:ilvl="7" w:tplc="C1683736" w:tentative="1">
      <w:start w:val="1"/>
      <w:numFmt w:val="lowerLetter"/>
      <w:lvlText w:val="%8."/>
      <w:lvlJc w:val="left"/>
      <w:pPr>
        <w:ind w:left="5400" w:hanging="360"/>
      </w:pPr>
    </w:lvl>
    <w:lvl w:ilvl="8" w:tplc="7F6E1C42" w:tentative="1">
      <w:start w:val="1"/>
      <w:numFmt w:val="lowerRoman"/>
      <w:lvlText w:val="%9."/>
      <w:lvlJc w:val="right"/>
      <w:pPr>
        <w:ind w:left="6120" w:hanging="180"/>
      </w:pPr>
    </w:lvl>
  </w:abstractNum>
  <w:num w:numId="1">
    <w:abstractNumId w:val="5"/>
  </w:num>
  <w:num w:numId="2">
    <w:abstractNumId w:val="5"/>
  </w:num>
  <w:num w:numId="3">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
    <w:lvlOverride w:ilvl="0">
      <w:lvl w:ilvl="0">
        <w:numFmt w:val="bullet"/>
        <w:lvlText w:val=""/>
        <w:legacy w:legacy="1" w:legacySpace="0" w:legacyIndent="360"/>
        <w:lvlJc w:val="left"/>
        <w:rPr>
          <w:rFonts w:ascii="Symbol" w:hAnsi="Symbol" w:hint="default"/>
        </w:rPr>
      </w:lvl>
    </w:lvlOverride>
  </w:num>
  <w:num w:numId="6">
    <w:abstractNumId w:val="6"/>
  </w:num>
  <w:num w:numId="7">
    <w:abstractNumId w:val="3"/>
  </w:num>
  <w:num w:numId="8">
    <w:abstractNumId w:val="4"/>
  </w:num>
  <w:num w:numId="9">
    <w:abstractNumId w:val="9"/>
  </w:num>
  <w:num w:numId="10">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15"/>
  </w:num>
  <w:num w:numId="13">
    <w:abstractNumId w:val="13"/>
  </w:num>
  <w:num w:numId="14">
    <w:abstractNumId w:val="14"/>
  </w:num>
  <w:num w:numId="15">
    <w:abstractNumId w:val="5"/>
  </w:num>
  <w:num w:numId="16">
    <w:abstractNumId w:val="17"/>
  </w:num>
  <w:num w:numId="17">
    <w:abstractNumId w:val="5"/>
  </w:num>
  <w:num w:numId="18">
    <w:abstractNumId w:val="12"/>
  </w:num>
  <w:num w:numId="19">
    <w:abstractNumId w:val="5"/>
  </w:num>
  <w:num w:numId="20">
    <w:abstractNumId w:val="18"/>
  </w:num>
  <w:num w:numId="21">
    <w:abstractNumId w:val="10"/>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0"/>
  </w:num>
  <w:num w:numId="41">
    <w:abstractNumId w:val="5"/>
  </w:num>
  <w:num w:numId="42">
    <w:abstractNumId w:val="2"/>
  </w:num>
  <w:num w:numId="43">
    <w:abstractNumId w:val="21"/>
  </w:num>
  <w:num w:numId="44">
    <w:abstractNumId w:val="11"/>
  </w:num>
  <w:num w:numId="45">
    <w:abstractNumId w:val="16"/>
  </w:num>
  <w:num w:numId="46">
    <w:abstractNumId w:val="23"/>
  </w:num>
  <w:num w:numId="47">
    <w:abstractNumId w:val="7"/>
  </w:num>
  <w:num w:numId="48">
    <w:abstractNumId w:val="5"/>
  </w:num>
  <w:num w:numId="49">
    <w:abstractNumId w:val="8"/>
  </w:num>
  <w:num w:numId="50">
    <w:abstractNumId w:val="5"/>
  </w:num>
  <w:num w:numId="51">
    <w:abstractNumId w:val="5"/>
  </w:num>
  <w:num w:numId="52">
    <w:abstractNumId w:val="5"/>
  </w:num>
  <w:num w:numId="53">
    <w:abstractNumId w:val="5"/>
  </w:num>
  <w:num w:numId="54">
    <w:abstractNumId w:val="5"/>
  </w:num>
  <w:num w:numId="55">
    <w:abstractNumId w:val="5"/>
  </w:num>
  <w:num w:numId="56">
    <w:abstractNumId w:val="5"/>
  </w:num>
  <w:num w:numId="57">
    <w:abstractNumId w:val="5"/>
  </w:num>
  <w:num w:numId="58">
    <w:abstractNumId w:val="5"/>
  </w:num>
  <w:num w:numId="59">
    <w:abstractNumId w:val="5"/>
  </w:num>
  <w:num w:numId="60">
    <w:abstractNumId w:val="5"/>
  </w:num>
  <w:num w:numId="61">
    <w:abstractNumId w:val="5"/>
  </w:num>
  <w:num w:numId="62">
    <w:abstractNumId w:val="5"/>
  </w:num>
  <w:num w:numId="63">
    <w:abstractNumId w:val="5"/>
  </w:num>
  <w:num w:numId="64">
    <w:abstractNumId w:val="5"/>
  </w:num>
  <w:num w:numId="65">
    <w:abstractNumId w:val="5"/>
  </w:num>
  <w:num w:numId="66">
    <w:abstractNumId w:val="5"/>
  </w:num>
  <w:num w:numId="67">
    <w:abstractNumId w:val="5"/>
  </w:num>
  <w:num w:numId="68">
    <w:abstractNumId w:val="5"/>
  </w:num>
  <w:num w:numId="69">
    <w:abstractNumId w:val="5"/>
  </w:num>
  <w:num w:numId="70">
    <w:abstractNumId w:val="5"/>
  </w:num>
  <w:num w:numId="71">
    <w:abstractNumId w:val="5"/>
  </w:num>
  <w:num w:numId="72">
    <w:abstractNumId w:val="5"/>
  </w:num>
  <w:num w:numId="73">
    <w:abstractNumId w:val="5"/>
  </w:num>
  <w:num w:numId="74">
    <w:abstractNumId w:val="5"/>
  </w:num>
  <w:num w:numId="75">
    <w:abstractNumId w:val="19"/>
  </w:num>
  <w:num w:numId="76">
    <w:abstractNumId w:val="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300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8CA"/>
    <w:rsid w:val="00017870"/>
    <w:rsid w:val="0002211B"/>
    <w:rsid w:val="00025792"/>
    <w:rsid w:val="0003271E"/>
    <w:rsid w:val="00033B5C"/>
    <w:rsid w:val="00034A83"/>
    <w:rsid w:val="00042292"/>
    <w:rsid w:val="00042BB1"/>
    <w:rsid w:val="000443EB"/>
    <w:rsid w:val="00047943"/>
    <w:rsid w:val="00047F64"/>
    <w:rsid w:val="00050C56"/>
    <w:rsid w:val="00052FE7"/>
    <w:rsid w:val="00053F3C"/>
    <w:rsid w:val="00054F4B"/>
    <w:rsid w:val="00056A1B"/>
    <w:rsid w:val="00062936"/>
    <w:rsid w:val="00062B22"/>
    <w:rsid w:val="0006301D"/>
    <w:rsid w:val="0007291A"/>
    <w:rsid w:val="0007421C"/>
    <w:rsid w:val="00075799"/>
    <w:rsid w:val="000771B8"/>
    <w:rsid w:val="00077CCB"/>
    <w:rsid w:val="0008324C"/>
    <w:rsid w:val="000854A3"/>
    <w:rsid w:val="00085CFD"/>
    <w:rsid w:val="0008696C"/>
    <w:rsid w:val="00087C35"/>
    <w:rsid w:val="0009292E"/>
    <w:rsid w:val="000941C2"/>
    <w:rsid w:val="000961A2"/>
    <w:rsid w:val="000962C1"/>
    <w:rsid w:val="00096451"/>
    <w:rsid w:val="0009670B"/>
    <w:rsid w:val="00096B05"/>
    <w:rsid w:val="00097826"/>
    <w:rsid w:val="000A165A"/>
    <w:rsid w:val="000A2F32"/>
    <w:rsid w:val="000A5FBA"/>
    <w:rsid w:val="000A7489"/>
    <w:rsid w:val="000A7706"/>
    <w:rsid w:val="000B0B68"/>
    <w:rsid w:val="000B64C5"/>
    <w:rsid w:val="000B79AE"/>
    <w:rsid w:val="000C36D5"/>
    <w:rsid w:val="000D1DB2"/>
    <w:rsid w:val="000D4AD4"/>
    <w:rsid w:val="000D6E8C"/>
    <w:rsid w:val="000E19CA"/>
    <w:rsid w:val="000E1DD1"/>
    <w:rsid w:val="000E2B7A"/>
    <w:rsid w:val="000E3886"/>
    <w:rsid w:val="000E4333"/>
    <w:rsid w:val="000E4D0C"/>
    <w:rsid w:val="000E6075"/>
    <w:rsid w:val="000F4A38"/>
    <w:rsid w:val="000F5D5D"/>
    <w:rsid w:val="0010195C"/>
    <w:rsid w:val="00101FF9"/>
    <w:rsid w:val="001143D0"/>
    <w:rsid w:val="00116C73"/>
    <w:rsid w:val="00117B95"/>
    <w:rsid w:val="00123239"/>
    <w:rsid w:val="00123DE7"/>
    <w:rsid w:val="00125597"/>
    <w:rsid w:val="001279B8"/>
    <w:rsid w:val="00127F3B"/>
    <w:rsid w:val="001320E4"/>
    <w:rsid w:val="00133A6E"/>
    <w:rsid w:val="00135D95"/>
    <w:rsid w:val="00136F87"/>
    <w:rsid w:val="00140DC5"/>
    <w:rsid w:val="001411ED"/>
    <w:rsid w:val="00143938"/>
    <w:rsid w:val="0014450B"/>
    <w:rsid w:val="00144A97"/>
    <w:rsid w:val="0014778C"/>
    <w:rsid w:val="001479ED"/>
    <w:rsid w:val="00151CB1"/>
    <w:rsid w:val="00160DCF"/>
    <w:rsid w:val="00161823"/>
    <w:rsid w:val="00164909"/>
    <w:rsid w:val="0016698C"/>
    <w:rsid w:val="0016786E"/>
    <w:rsid w:val="001700F0"/>
    <w:rsid w:val="001725AA"/>
    <w:rsid w:val="001744CA"/>
    <w:rsid w:val="00176B91"/>
    <w:rsid w:val="00180C47"/>
    <w:rsid w:val="00181F9F"/>
    <w:rsid w:val="00182308"/>
    <w:rsid w:val="00185110"/>
    <w:rsid w:val="0019079D"/>
    <w:rsid w:val="00190CA5"/>
    <w:rsid w:val="00191F06"/>
    <w:rsid w:val="001923A3"/>
    <w:rsid w:val="00193F9B"/>
    <w:rsid w:val="00194A8E"/>
    <w:rsid w:val="00194DC8"/>
    <w:rsid w:val="001A19FC"/>
    <w:rsid w:val="001B1323"/>
    <w:rsid w:val="001B17BE"/>
    <w:rsid w:val="001B17C3"/>
    <w:rsid w:val="001C2EE3"/>
    <w:rsid w:val="001C4648"/>
    <w:rsid w:val="001C6E8C"/>
    <w:rsid w:val="001C6FC0"/>
    <w:rsid w:val="001D08CE"/>
    <w:rsid w:val="001D22A0"/>
    <w:rsid w:val="001D5931"/>
    <w:rsid w:val="001D776E"/>
    <w:rsid w:val="001E0C53"/>
    <w:rsid w:val="001E24C9"/>
    <w:rsid w:val="001E3BE0"/>
    <w:rsid w:val="001E5C70"/>
    <w:rsid w:val="001E7CED"/>
    <w:rsid w:val="001F145C"/>
    <w:rsid w:val="001F1D81"/>
    <w:rsid w:val="001F1FAB"/>
    <w:rsid w:val="001F2174"/>
    <w:rsid w:val="001F254D"/>
    <w:rsid w:val="001F7EEF"/>
    <w:rsid w:val="00206362"/>
    <w:rsid w:val="00213F96"/>
    <w:rsid w:val="00214568"/>
    <w:rsid w:val="00220914"/>
    <w:rsid w:val="00221A21"/>
    <w:rsid w:val="0022262B"/>
    <w:rsid w:val="00223E34"/>
    <w:rsid w:val="00225E3D"/>
    <w:rsid w:val="00226264"/>
    <w:rsid w:val="00226534"/>
    <w:rsid w:val="00232C50"/>
    <w:rsid w:val="00236DB7"/>
    <w:rsid w:val="00236E5C"/>
    <w:rsid w:val="002405B8"/>
    <w:rsid w:val="00245810"/>
    <w:rsid w:val="00246B46"/>
    <w:rsid w:val="0025105F"/>
    <w:rsid w:val="00253D30"/>
    <w:rsid w:val="002563A8"/>
    <w:rsid w:val="00260607"/>
    <w:rsid w:val="00261235"/>
    <w:rsid w:val="0026174A"/>
    <w:rsid w:val="0026214B"/>
    <w:rsid w:val="00262EB5"/>
    <w:rsid w:val="0026435A"/>
    <w:rsid w:val="00265B31"/>
    <w:rsid w:val="00266ABE"/>
    <w:rsid w:val="00277801"/>
    <w:rsid w:val="002802E8"/>
    <w:rsid w:val="0028082A"/>
    <w:rsid w:val="00280FEF"/>
    <w:rsid w:val="002842CA"/>
    <w:rsid w:val="00292570"/>
    <w:rsid w:val="00292639"/>
    <w:rsid w:val="002929B6"/>
    <w:rsid w:val="0029676D"/>
    <w:rsid w:val="002A6EE7"/>
    <w:rsid w:val="002A7A91"/>
    <w:rsid w:val="002B3A63"/>
    <w:rsid w:val="002B55D0"/>
    <w:rsid w:val="002B589B"/>
    <w:rsid w:val="002C0E78"/>
    <w:rsid w:val="002C27FC"/>
    <w:rsid w:val="002C6D2E"/>
    <w:rsid w:val="002C7A28"/>
    <w:rsid w:val="002D69DA"/>
    <w:rsid w:val="002D6E2D"/>
    <w:rsid w:val="002D71F6"/>
    <w:rsid w:val="002E0080"/>
    <w:rsid w:val="002E2133"/>
    <w:rsid w:val="002E3E40"/>
    <w:rsid w:val="002E7346"/>
    <w:rsid w:val="002F1E9B"/>
    <w:rsid w:val="003039D4"/>
    <w:rsid w:val="003048AA"/>
    <w:rsid w:val="00307E21"/>
    <w:rsid w:val="00312191"/>
    <w:rsid w:val="00317468"/>
    <w:rsid w:val="0032085C"/>
    <w:rsid w:val="00322D2F"/>
    <w:rsid w:val="00323F9F"/>
    <w:rsid w:val="00330783"/>
    <w:rsid w:val="0033240E"/>
    <w:rsid w:val="003325DD"/>
    <w:rsid w:val="003328EF"/>
    <w:rsid w:val="0033451E"/>
    <w:rsid w:val="003450DC"/>
    <w:rsid w:val="003463C6"/>
    <w:rsid w:val="00350193"/>
    <w:rsid w:val="00352012"/>
    <w:rsid w:val="00352DEC"/>
    <w:rsid w:val="00353F7D"/>
    <w:rsid w:val="00354C5D"/>
    <w:rsid w:val="00354D84"/>
    <w:rsid w:val="00355E27"/>
    <w:rsid w:val="003568D8"/>
    <w:rsid w:val="0035793C"/>
    <w:rsid w:val="0036108A"/>
    <w:rsid w:val="00361E3D"/>
    <w:rsid w:val="00362093"/>
    <w:rsid w:val="003626FB"/>
    <w:rsid w:val="0036487B"/>
    <w:rsid w:val="00366266"/>
    <w:rsid w:val="0037060A"/>
    <w:rsid w:val="00372EBB"/>
    <w:rsid w:val="00373072"/>
    <w:rsid w:val="00377261"/>
    <w:rsid w:val="00380638"/>
    <w:rsid w:val="00384A87"/>
    <w:rsid w:val="00385325"/>
    <w:rsid w:val="00387B4F"/>
    <w:rsid w:val="00387BEF"/>
    <w:rsid w:val="00390F49"/>
    <w:rsid w:val="00392E8F"/>
    <w:rsid w:val="003939D5"/>
    <w:rsid w:val="00393A59"/>
    <w:rsid w:val="0039408C"/>
    <w:rsid w:val="00395FB0"/>
    <w:rsid w:val="0039630E"/>
    <w:rsid w:val="003969C0"/>
    <w:rsid w:val="00397CA0"/>
    <w:rsid w:val="003A1A7D"/>
    <w:rsid w:val="003A2B1D"/>
    <w:rsid w:val="003A45AB"/>
    <w:rsid w:val="003B0BB7"/>
    <w:rsid w:val="003B0BFE"/>
    <w:rsid w:val="003B1817"/>
    <w:rsid w:val="003B2C68"/>
    <w:rsid w:val="003B4FB9"/>
    <w:rsid w:val="003B56A1"/>
    <w:rsid w:val="003B5A37"/>
    <w:rsid w:val="003B627B"/>
    <w:rsid w:val="003B6C61"/>
    <w:rsid w:val="003C0822"/>
    <w:rsid w:val="003C3884"/>
    <w:rsid w:val="003D17A5"/>
    <w:rsid w:val="003D1AA1"/>
    <w:rsid w:val="003D7883"/>
    <w:rsid w:val="003E3BB4"/>
    <w:rsid w:val="003E6B7E"/>
    <w:rsid w:val="003E6EB8"/>
    <w:rsid w:val="003E7AAF"/>
    <w:rsid w:val="003F2CA2"/>
    <w:rsid w:val="003F4348"/>
    <w:rsid w:val="003F47F2"/>
    <w:rsid w:val="003F6C39"/>
    <w:rsid w:val="003F7746"/>
    <w:rsid w:val="0040035C"/>
    <w:rsid w:val="004006F7"/>
    <w:rsid w:val="004009E8"/>
    <w:rsid w:val="00401430"/>
    <w:rsid w:val="0040303A"/>
    <w:rsid w:val="00405379"/>
    <w:rsid w:val="00405559"/>
    <w:rsid w:val="004071BF"/>
    <w:rsid w:val="00407D84"/>
    <w:rsid w:val="00410B58"/>
    <w:rsid w:val="0041398F"/>
    <w:rsid w:val="00415C16"/>
    <w:rsid w:val="00415D13"/>
    <w:rsid w:val="00416CFE"/>
    <w:rsid w:val="00420B0C"/>
    <w:rsid w:val="00423BBC"/>
    <w:rsid w:val="004261D3"/>
    <w:rsid w:val="00426DAE"/>
    <w:rsid w:val="00427176"/>
    <w:rsid w:val="0043086D"/>
    <w:rsid w:val="00430A1E"/>
    <w:rsid w:val="00432B83"/>
    <w:rsid w:val="004332FE"/>
    <w:rsid w:val="00442C69"/>
    <w:rsid w:val="00443576"/>
    <w:rsid w:val="00450FDB"/>
    <w:rsid w:val="0045530E"/>
    <w:rsid w:val="00455C1B"/>
    <w:rsid w:val="004575F7"/>
    <w:rsid w:val="00463611"/>
    <w:rsid w:val="00463A23"/>
    <w:rsid w:val="00471DD7"/>
    <w:rsid w:val="00472DCC"/>
    <w:rsid w:val="0047392A"/>
    <w:rsid w:val="004802B8"/>
    <w:rsid w:val="0048077A"/>
    <w:rsid w:val="00481108"/>
    <w:rsid w:val="004840DC"/>
    <w:rsid w:val="004847B0"/>
    <w:rsid w:val="00484F5F"/>
    <w:rsid w:val="00490C96"/>
    <w:rsid w:val="00491736"/>
    <w:rsid w:val="00491F94"/>
    <w:rsid w:val="00493E88"/>
    <w:rsid w:val="004A163B"/>
    <w:rsid w:val="004A29FA"/>
    <w:rsid w:val="004A2A99"/>
    <w:rsid w:val="004A5CB2"/>
    <w:rsid w:val="004A6F26"/>
    <w:rsid w:val="004B0A20"/>
    <w:rsid w:val="004B0FFF"/>
    <w:rsid w:val="004B11C0"/>
    <w:rsid w:val="004B17A0"/>
    <w:rsid w:val="004B2745"/>
    <w:rsid w:val="004B4CB0"/>
    <w:rsid w:val="004B69C0"/>
    <w:rsid w:val="004B7405"/>
    <w:rsid w:val="004B752A"/>
    <w:rsid w:val="004C1ECB"/>
    <w:rsid w:val="004C29E5"/>
    <w:rsid w:val="004D4786"/>
    <w:rsid w:val="004E3717"/>
    <w:rsid w:val="004E7E38"/>
    <w:rsid w:val="004F4969"/>
    <w:rsid w:val="004F54EF"/>
    <w:rsid w:val="004F5F14"/>
    <w:rsid w:val="004F7BDA"/>
    <w:rsid w:val="005007C1"/>
    <w:rsid w:val="00502F1B"/>
    <w:rsid w:val="005034D8"/>
    <w:rsid w:val="00505E73"/>
    <w:rsid w:val="005117C9"/>
    <w:rsid w:val="00512051"/>
    <w:rsid w:val="0051262D"/>
    <w:rsid w:val="005142D3"/>
    <w:rsid w:val="00514643"/>
    <w:rsid w:val="00514F04"/>
    <w:rsid w:val="0052675E"/>
    <w:rsid w:val="00531336"/>
    <w:rsid w:val="0053251D"/>
    <w:rsid w:val="00534392"/>
    <w:rsid w:val="0053447D"/>
    <w:rsid w:val="00534558"/>
    <w:rsid w:val="00534766"/>
    <w:rsid w:val="00535F8E"/>
    <w:rsid w:val="005360DA"/>
    <w:rsid w:val="00540EC1"/>
    <w:rsid w:val="00544B52"/>
    <w:rsid w:val="00544B5E"/>
    <w:rsid w:val="00545742"/>
    <w:rsid w:val="005466AD"/>
    <w:rsid w:val="00550BB0"/>
    <w:rsid w:val="00552A2B"/>
    <w:rsid w:val="00560FB0"/>
    <w:rsid w:val="00561A94"/>
    <w:rsid w:val="0056275E"/>
    <w:rsid w:val="00565FE3"/>
    <w:rsid w:val="005662CC"/>
    <w:rsid w:val="00567E8F"/>
    <w:rsid w:val="0057064F"/>
    <w:rsid w:val="00570720"/>
    <w:rsid w:val="00577704"/>
    <w:rsid w:val="005819D8"/>
    <w:rsid w:val="00585E91"/>
    <w:rsid w:val="0058601F"/>
    <w:rsid w:val="0058610B"/>
    <w:rsid w:val="00590951"/>
    <w:rsid w:val="00596B16"/>
    <w:rsid w:val="00597BF2"/>
    <w:rsid w:val="005A412E"/>
    <w:rsid w:val="005A4DBF"/>
    <w:rsid w:val="005B35FB"/>
    <w:rsid w:val="005B3C9F"/>
    <w:rsid w:val="005B3EF1"/>
    <w:rsid w:val="005B6BC3"/>
    <w:rsid w:val="005B7C4D"/>
    <w:rsid w:val="005C12C9"/>
    <w:rsid w:val="005C3E18"/>
    <w:rsid w:val="005D247F"/>
    <w:rsid w:val="005D2F68"/>
    <w:rsid w:val="005D3866"/>
    <w:rsid w:val="005D69DD"/>
    <w:rsid w:val="005D728E"/>
    <w:rsid w:val="005D75E2"/>
    <w:rsid w:val="005E1300"/>
    <w:rsid w:val="005E2EA5"/>
    <w:rsid w:val="005F01F3"/>
    <w:rsid w:val="00600549"/>
    <w:rsid w:val="00603D55"/>
    <w:rsid w:val="0060401F"/>
    <w:rsid w:val="00604384"/>
    <w:rsid w:val="00607D50"/>
    <w:rsid w:val="006106CD"/>
    <w:rsid w:val="00610DDE"/>
    <w:rsid w:val="006112E3"/>
    <w:rsid w:val="00613DAE"/>
    <w:rsid w:val="00615827"/>
    <w:rsid w:val="00621B05"/>
    <w:rsid w:val="00624A38"/>
    <w:rsid w:val="00624C33"/>
    <w:rsid w:val="00624E45"/>
    <w:rsid w:val="006263B7"/>
    <w:rsid w:val="00632FAC"/>
    <w:rsid w:val="006332C2"/>
    <w:rsid w:val="006333EA"/>
    <w:rsid w:val="00633E14"/>
    <w:rsid w:val="00637E5F"/>
    <w:rsid w:val="0064000A"/>
    <w:rsid w:val="0064086C"/>
    <w:rsid w:val="006412D7"/>
    <w:rsid w:val="00650695"/>
    <w:rsid w:val="00651E99"/>
    <w:rsid w:val="006531A9"/>
    <w:rsid w:val="00653634"/>
    <w:rsid w:val="006539CF"/>
    <w:rsid w:val="00653A33"/>
    <w:rsid w:val="00654FE1"/>
    <w:rsid w:val="00657571"/>
    <w:rsid w:val="006620B3"/>
    <w:rsid w:val="0066730E"/>
    <w:rsid w:val="00667503"/>
    <w:rsid w:val="00667D32"/>
    <w:rsid w:val="00670A79"/>
    <w:rsid w:val="00673FCA"/>
    <w:rsid w:val="00674121"/>
    <w:rsid w:val="00674F50"/>
    <w:rsid w:val="00676372"/>
    <w:rsid w:val="0068012E"/>
    <w:rsid w:val="006807C8"/>
    <w:rsid w:val="00681FA5"/>
    <w:rsid w:val="00684DC8"/>
    <w:rsid w:val="00690B1B"/>
    <w:rsid w:val="00692AC7"/>
    <w:rsid w:val="0069461C"/>
    <w:rsid w:val="0069701C"/>
    <w:rsid w:val="006A21E2"/>
    <w:rsid w:val="006A259E"/>
    <w:rsid w:val="006A38A3"/>
    <w:rsid w:val="006A4556"/>
    <w:rsid w:val="006A55E6"/>
    <w:rsid w:val="006A65D9"/>
    <w:rsid w:val="006B0213"/>
    <w:rsid w:val="006B0B8C"/>
    <w:rsid w:val="006B3276"/>
    <w:rsid w:val="006B73D7"/>
    <w:rsid w:val="006C0939"/>
    <w:rsid w:val="006C6E2D"/>
    <w:rsid w:val="006C7E9B"/>
    <w:rsid w:val="006D1E44"/>
    <w:rsid w:val="006D24C8"/>
    <w:rsid w:val="006D7FD3"/>
    <w:rsid w:val="006E0AC1"/>
    <w:rsid w:val="006E0FE4"/>
    <w:rsid w:val="006E1B2A"/>
    <w:rsid w:val="006E1B87"/>
    <w:rsid w:val="006E5245"/>
    <w:rsid w:val="006E79F7"/>
    <w:rsid w:val="006E7DC9"/>
    <w:rsid w:val="006F0FF5"/>
    <w:rsid w:val="006F55AF"/>
    <w:rsid w:val="006F563F"/>
    <w:rsid w:val="006F733D"/>
    <w:rsid w:val="00700909"/>
    <w:rsid w:val="007013FE"/>
    <w:rsid w:val="007028E3"/>
    <w:rsid w:val="00710980"/>
    <w:rsid w:val="00713E5A"/>
    <w:rsid w:val="007175B9"/>
    <w:rsid w:val="00720D30"/>
    <w:rsid w:val="00724520"/>
    <w:rsid w:val="007245CE"/>
    <w:rsid w:val="00725C7F"/>
    <w:rsid w:val="00725DE5"/>
    <w:rsid w:val="00732527"/>
    <w:rsid w:val="007336BC"/>
    <w:rsid w:val="00734BE1"/>
    <w:rsid w:val="007403F1"/>
    <w:rsid w:val="0074488F"/>
    <w:rsid w:val="00746DBF"/>
    <w:rsid w:val="007543CB"/>
    <w:rsid w:val="007546E5"/>
    <w:rsid w:val="00761F5A"/>
    <w:rsid w:val="00762263"/>
    <w:rsid w:val="00762F97"/>
    <w:rsid w:val="007631C4"/>
    <w:rsid w:val="00764300"/>
    <w:rsid w:val="007667D6"/>
    <w:rsid w:val="00766A6F"/>
    <w:rsid w:val="00767AC5"/>
    <w:rsid w:val="007708DB"/>
    <w:rsid w:val="00773BB9"/>
    <w:rsid w:val="00773C5C"/>
    <w:rsid w:val="0077511A"/>
    <w:rsid w:val="00776FB0"/>
    <w:rsid w:val="007773F8"/>
    <w:rsid w:val="00780F5C"/>
    <w:rsid w:val="007828DC"/>
    <w:rsid w:val="00782F53"/>
    <w:rsid w:val="007846A0"/>
    <w:rsid w:val="00784BF9"/>
    <w:rsid w:val="007852EE"/>
    <w:rsid w:val="007857E8"/>
    <w:rsid w:val="007861B3"/>
    <w:rsid w:val="00794675"/>
    <w:rsid w:val="00794A95"/>
    <w:rsid w:val="0079716C"/>
    <w:rsid w:val="007A0456"/>
    <w:rsid w:val="007A2765"/>
    <w:rsid w:val="007A4738"/>
    <w:rsid w:val="007B0784"/>
    <w:rsid w:val="007B385A"/>
    <w:rsid w:val="007B4417"/>
    <w:rsid w:val="007B5F11"/>
    <w:rsid w:val="007B6FC6"/>
    <w:rsid w:val="007C092F"/>
    <w:rsid w:val="007C158D"/>
    <w:rsid w:val="007C3044"/>
    <w:rsid w:val="007C398E"/>
    <w:rsid w:val="007C5E04"/>
    <w:rsid w:val="007D38EE"/>
    <w:rsid w:val="007D582C"/>
    <w:rsid w:val="007D724F"/>
    <w:rsid w:val="007E324D"/>
    <w:rsid w:val="007E4ACF"/>
    <w:rsid w:val="007E4B82"/>
    <w:rsid w:val="007E761A"/>
    <w:rsid w:val="007F2792"/>
    <w:rsid w:val="007F2F5C"/>
    <w:rsid w:val="007F65EF"/>
    <w:rsid w:val="007F781D"/>
    <w:rsid w:val="008001FD"/>
    <w:rsid w:val="00800B13"/>
    <w:rsid w:val="008022FC"/>
    <w:rsid w:val="00802A49"/>
    <w:rsid w:val="00810B57"/>
    <w:rsid w:val="00810BA9"/>
    <w:rsid w:val="00811D50"/>
    <w:rsid w:val="00812608"/>
    <w:rsid w:val="00812BB1"/>
    <w:rsid w:val="00814A35"/>
    <w:rsid w:val="00814DAA"/>
    <w:rsid w:val="008233AA"/>
    <w:rsid w:val="00823487"/>
    <w:rsid w:val="00823EFE"/>
    <w:rsid w:val="00825A26"/>
    <w:rsid w:val="00832C66"/>
    <w:rsid w:val="008335E3"/>
    <w:rsid w:val="00834A9E"/>
    <w:rsid w:val="00834EE0"/>
    <w:rsid w:val="008373E6"/>
    <w:rsid w:val="0084036C"/>
    <w:rsid w:val="00844D47"/>
    <w:rsid w:val="00845619"/>
    <w:rsid w:val="00847559"/>
    <w:rsid w:val="00850640"/>
    <w:rsid w:val="0085280C"/>
    <w:rsid w:val="00853111"/>
    <w:rsid w:val="00853AFE"/>
    <w:rsid w:val="00854CE4"/>
    <w:rsid w:val="008552FF"/>
    <w:rsid w:val="008566A0"/>
    <w:rsid w:val="0086437A"/>
    <w:rsid w:val="00866267"/>
    <w:rsid w:val="008678CA"/>
    <w:rsid w:val="00870F9D"/>
    <w:rsid w:val="00874783"/>
    <w:rsid w:val="0087644E"/>
    <w:rsid w:val="00876CFB"/>
    <w:rsid w:val="00880C87"/>
    <w:rsid w:val="00881CD3"/>
    <w:rsid w:val="0088328B"/>
    <w:rsid w:val="0088790C"/>
    <w:rsid w:val="0089131B"/>
    <w:rsid w:val="00891587"/>
    <w:rsid w:val="008921D4"/>
    <w:rsid w:val="00893577"/>
    <w:rsid w:val="00893E67"/>
    <w:rsid w:val="008A0F11"/>
    <w:rsid w:val="008A2378"/>
    <w:rsid w:val="008A2471"/>
    <w:rsid w:val="008A34C4"/>
    <w:rsid w:val="008A5210"/>
    <w:rsid w:val="008A7BA4"/>
    <w:rsid w:val="008B00D7"/>
    <w:rsid w:val="008B4045"/>
    <w:rsid w:val="008B61DF"/>
    <w:rsid w:val="008C1171"/>
    <w:rsid w:val="008C6E3F"/>
    <w:rsid w:val="008C7CCA"/>
    <w:rsid w:val="008D0572"/>
    <w:rsid w:val="008E185F"/>
    <w:rsid w:val="008E1932"/>
    <w:rsid w:val="008E2DDE"/>
    <w:rsid w:val="008E3991"/>
    <w:rsid w:val="008E6B45"/>
    <w:rsid w:val="008F20F1"/>
    <w:rsid w:val="009007C4"/>
    <w:rsid w:val="00900C48"/>
    <w:rsid w:val="0090474B"/>
    <w:rsid w:val="00905EA9"/>
    <w:rsid w:val="009068E4"/>
    <w:rsid w:val="00911AC7"/>
    <w:rsid w:val="00913B34"/>
    <w:rsid w:val="0091496B"/>
    <w:rsid w:val="00915BDB"/>
    <w:rsid w:val="00916BC0"/>
    <w:rsid w:val="00917B6F"/>
    <w:rsid w:val="0092223C"/>
    <w:rsid w:val="00923F63"/>
    <w:rsid w:val="00927B4F"/>
    <w:rsid w:val="009301D1"/>
    <w:rsid w:val="00932D15"/>
    <w:rsid w:val="00935AF9"/>
    <w:rsid w:val="0094115D"/>
    <w:rsid w:val="00941DFF"/>
    <w:rsid w:val="00946932"/>
    <w:rsid w:val="00947489"/>
    <w:rsid w:val="0095010E"/>
    <w:rsid w:val="0095164D"/>
    <w:rsid w:val="00953805"/>
    <w:rsid w:val="009626EF"/>
    <w:rsid w:val="00964825"/>
    <w:rsid w:val="00965254"/>
    <w:rsid w:val="0096795A"/>
    <w:rsid w:val="00972AB0"/>
    <w:rsid w:val="00973E17"/>
    <w:rsid w:val="00976509"/>
    <w:rsid w:val="00983B96"/>
    <w:rsid w:val="00983DDC"/>
    <w:rsid w:val="0098558D"/>
    <w:rsid w:val="009865E5"/>
    <w:rsid w:val="009866EC"/>
    <w:rsid w:val="00992685"/>
    <w:rsid w:val="00993A40"/>
    <w:rsid w:val="00993D18"/>
    <w:rsid w:val="009A1CD9"/>
    <w:rsid w:val="009A3E72"/>
    <w:rsid w:val="009A5191"/>
    <w:rsid w:val="009A5D92"/>
    <w:rsid w:val="009A7152"/>
    <w:rsid w:val="009A7576"/>
    <w:rsid w:val="009A789F"/>
    <w:rsid w:val="009B11E2"/>
    <w:rsid w:val="009B4695"/>
    <w:rsid w:val="009B4F1A"/>
    <w:rsid w:val="009C1A9E"/>
    <w:rsid w:val="009C4B1D"/>
    <w:rsid w:val="009C5DFD"/>
    <w:rsid w:val="009D065D"/>
    <w:rsid w:val="009D2D98"/>
    <w:rsid w:val="009D7E09"/>
    <w:rsid w:val="009E22A2"/>
    <w:rsid w:val="009E2A75"/>
    <w:rsid w:val="009E6207"/>
    <w:rsid w:val="00A018A9"/>
    <w:rsid w:val="00A01BB7"/>
    <w:rsid w:val="00A06B06"/>
    <w:rsid w:val="00A077CA"/>
    <w:rsid w:val="00A101E9"/>
    <w:rsid w:val="00A10751"/>
    <w:rsid w:val="00A11263"/>
    <w:rsid w:val="00A12514"/>
    <w:rsid w:val="00A13E15"/>
    <w:rsid w:val="00A14D9C"/>
    <w:rsid w:val="00A157BC"/>
    <w:rsid w:val="00A27448"/>
    <w:rsid w:val="00A3199F"/>
    <w:rsid w:val="00A31CDC"/>
    <w:rsid w:val="00A36DBC"/>
    <w:rsid w:val="00A40D43"/>
    <w:rsid w:val="00A42073"/>
    <w:rsid w:val="00A432AB"/>
    <w:rsid w:val="00A43E56"/>
    <w:rsid w:val="00A44149"/>
    <w:rsid w:val="00A4740C"/>
    <w:rsid w:val="00A4750C"/>
    <w:rsid w:val="00A60C7C"/>
    <w:rsid w:val="00A62875"/>
    <w:rsid w:val="00A66874"/>
    <w:rsid w:val="00A67550"/>
    <w:rsid w:val="00A73E23"/>
    <w:rsid w:val="00A8121C"/>
    <w:rsid w:val="00A816CD"/>
    <w:rsid w:val="00A8207D"/>
    <w:rsid w:val="00A837DE"/>
    <w:rsid w:val="00A8443B"/>
    <w:rsid w:val="00A92006"/>
    <w:rsid w:val="00AA4942"/>
    <w:rsid w:val="00AA5C1B"/>
    <w:rsid w:val="00AA7B28"/>
    <w:rsid w:val="00AB5A7E"/>
    <w:rsid w:val="00AB5E8E"/>
    <w:rsid w:val="00AC37C4"/>
    <w:rsid w:val="00AC4E02"/>
    <w:rsid w:val="00AC522B"/>
    <w:rsid w:val="00AC66E0"/>
    <w:rsid w:val="00AD1753"/>
    <w:rsid w:val="00AD23ED"/>
    <w:rsid w:val="00AD7395"/>
    <w:rsid w:val="00AE27F5"/>
    <w:rsid w:val="00AE2F76"/>
    <w:rsid w:val="00AE4F3D"/>
    <w:rsid w:val="00AE6381"/>
    <w:rsid w:val="00AE645D"/>
    <w:rsid w:val="00AE6D39"/>
    <w:rsid w:val="00AF0FCA"/>
    <w:rsid w:val="00AF445C"/>
    <w:rsid w:val="00B01F5F"/>
    <w:rsid w:val="00B02213"/>
    <w:rsid w:val="00B05522"/>
    <w:rsid w:val="00B059FE"/>
    <w:rsid w:val="00B156F4"/>
    <w:rsid w:val="00B20424"/>
    <w:rsid w:val="00B2064D"/>
    <w:rsid w:val="00B25D0C"/>
    <w:rsid w:val="00B330EB"/>
    <w:rsid w:val="00B33E9E"/>
    <w:rsid w:val="00B34612"/>
    <w:rsid w:val="00B34E9E"/>
    <w:rsid w:val="00B37B1A"/>
    <w:rsid w:val="00B40E4B"/>
    <w:rsid w:val="00B41694"/>
    <w:rsid w:val="00B4197D"/>
    <w:rsid w:val="00B42906"/>
    <w:rsid w:val="00B42B41"/>
    <w:rsid w:val="00B4319C"/>
    <w:rsid w:val="00B44CC7"/>
    <w:rsid w:val="00B45116"/>
    <w:rsid w:val="00B452F3"/>
    <w:rsid w:val="00B46EB2"/>
    <w:rsid w:val="00B47564"/>
    <w:rsid w:val="00B6068A"/>
    <w:rsid w:val="00B6097E"/>
    <w:rsid w:val="00B61B39"/>
    <w:rsid w:val="00B6478E"/>
    <w:rsid w:val="00B67602"/>
    <w:rsid w:val="00B679F8"/>
    <w:rsid w:val="00B70F51"/>
    <w:rsid w:val="00B71944"/>
    <w:rsid w:val="00B723EF"/>
    <w:rsid w:val="00B731C2"/>
    <w:rsid w:val="00B738C7"/>
    <w:rsid w:val="00B74507"/>
    <w:rsid w:val="00B74FF6"/>
    <w:rsid w:val="00B805C9"/>
    <w:rsid w:val="00B836F1"/>
    <w:rsid w:val="00B86E3B"/>
    <w:rsid w:val="00B87CC0"/>
    <w:rsid w:val="00B93052"/>
    <w:rsid w:val="00B9325C"/>
    <w:rsid w:val="00B93E6A"/>
    <w:rsid w:val="00B96729"/>
    <w:rsid w:val="00B969A0"/>
    <w:rsid w:val="00B971E6"/>
    <w:rsid w:val="00BA3184"/>
    <w:rsid w:val="00BA4EF4"/>
    <w:rsid w:val="00BA60CF"/>
    <w:rsid w:val="00BB044D"/>
    <w:rsid w:val="00BB0553"/>
    <w:rsid w:val="00BB0F96"/>
    <w:rsid w:val="00BB74FF"/>
    <w:rsid w:val="00BB7A9D"/>
    <w:rsid w:val="00BC116D"/>
    <w:rsid w:val="00BC1C99"/>
    <w:rsid w:val="00BC50A4"/>
    <w:rsid w:val="00BC60A8"/>
    <w:rsid w:val="00BC6310"/>
    <w:rsid w:val="00BD76D3"/>
    <w:rsid w:val="00BE1E9D"/>
    <w:rsid w:val="00BE35D6"/>
    <w:rsid w:val="00BE4E34"/>
    <w:rsid w:val="00BE6A81"/>
    <w:rsid w:val="00BE7FC6"/>
    <w:rsid w:val="00BF174D"/>
    <w:rsid w:val="00BF175D"/>
    <w:rsid w:val="00BF1E8B"/>
    <w:rsid w:val="00BF2428"/>
    <w:rsid w:val="00BF3A59"/>
    <w:rsid w:val="00BF6D3E"/>
    <w:rsid w:val="00C0069C"/>
    <w:rsid w:val="00C14BBA"/>
    <w:rsid w:val="00C151B5"/>
    <w:rsid w:val="00C23812"/>
    <w:rsid w:val="00C26312"/>
    <w:rsid w:val="00C26CD8"/>
    <w:rsid w:val="00C27D8B"/>
    <w:rsid w:val="00C31C70"/>
    <w:rsid w:val="00C328DE"/>
    <w:rsid w:val="00C32B87"/>
    <w:rsid w:val="00C35092"/>
    <w:rsid w:val="00C372D3"/>
    <w:rsid w:val="00C40A73"/>
    <w:rsid w:val="00C43A4D"/>
    <w:rsid w:val="00C45AC8"/>
    <w:rsid w:val="00C47010"/>
    <w:rsid w:val="00C533B3"/>
    <w:rsid w:val="00C54EF7"/>
    <w:rsid w:val="00C559AB"/>
    <w:rsid w:val="00C57037"/>
    <w:rsid w:val="00C57B65"/>
    <w:rsid w:val="00C67381"/>
    <w:rsid w:val="00C802E2"/>
    <w:rsid w:val="00C805D0"/>
    <w:rsid w:val="00C8147E"/>
    <w:rsid w:val="00C81BA6"/>
    <w:rsid w:val="00C81BD4"/>
    <w:rsid w:val="00C8439E"/>
    <w:rsid w:val="00C85B7F"/>
    <w:rsid w:val="00C86A0A"/>
    <w:rsid w:val="00C92422"/>
    <w:rsid w:val="00C96311"/>
    <w:rsid w:val="00C96E60"/>
    <w:rsid w:val="00C970D3"/>
    <w:rsid w:val="00CA18E8"/>
    <w:rsid w:val="00CA6BF1"/>
    <w:rsid w:val="00CB6E0D"/>
    <w:rsid w:val="00CC11C0"/>
    <w:rsid w:val="00CC12C9"/>
    <w:rsid w:val="00CC1F88"/>
    <w:rsid w:val="00CC2AF3"/>
    <w:rsid w:val="00CC4614"/>
    <w:rsid w:val="00CC7383"/>
    <w:rsid w:val="00CC7981"/>
    <w:rsid w:val="00CD0E00"/>
    <w:rsid w:val="00CD2919"/>
    <w:rsid w:val="00CE1116"/>
    <w:rsid w:val="00CE1CF7"/>
    <w:rsid w:val="00CE73A8"/>
    <w:rsid w:val="00CF2371"/>
    <w:rsid w:val="00CF4777"/>
    <w:rsid w:val="00CF73E4"/>
    <w:rsid w:val="00CF78F9"/>
    <w:rsid w:val="00D0043D"/>
    <w:rsid w:val="00D0106B"/>
    <w:rsid w:val="00D037B7"/>
    <w:rsid w:val="00D03A46"/>
    <w:rsid w:val="00D06C66"/>
    <w:rsid w:val="00D11182"/>
    <w:rsid w:val="00D11350"/>
    <w:rsid w:val="00D11B45"/>
    <w:rsid w:val="00D13380"/>
    <w:rsid w:val="00D138CD"/>
    <w:rsid w:val="00D14710"/>
    <w:rsid w:val="00D16832"/>
    <w:rsid w:val="00D1694D"/>
    <w:rsid w:val="00D20D5B"/>
    <w:rsid w:val="00D2149C"/>
    <w:rsid w:val="00D223A7"/>
    <w:rsid w:val="00D256FA"/>
    <w:rsid w:val="00D273CF"/>
    <w:rsid w:val="00D303D2"/>
    <w:rsid w:val="00D318F0"/>
    <w:rsid w:val="00D3248A"/>
    <w:rsid w:val="00D352D0"/>
    <w:rsid w:val="00D35D5B"/>
    <w:rsid w:val="00D40AEE"/>
    <w:rsid w:val="00D44FDC"/>
    <w:rsid w:val="00D45A61"/>
    <w:rsid w:val="00D45B2C"/>
    <w:rsid w:val="00D552F1"/>
    <w:rsid w:val="00D55CAE"/>
    <w:rsid w:val="00D56D45"/>
    <w:rsid w:val="00D61B6F"/>
    <w:rsid w:val="00D61D1E"/>
    <w:rsid w:val="00D63474"/>
    <w:rsid w:val="00D63D96"/>
    <w:rsid w:val="00D66509"/>
    <w:rsid w:val="00D6704A"/>
    <w:rsid w:val="00D70A1C"/>
    <w:rsid w:val="00D720A6"/>
    <w:rsid w:val="00D72E11"/>
    <w:rsid w:val="00D76E5D"/>
    <w:rsid w:val="00D77BD0"/>
    <w:rsid w:val="00D77D02"/>
    <w:rsid w:val="00D80BB4"/>
    <w:rsid w:val="00D8139A"/>
    <w:rsid w:val="00D85A62"/>
    <w:rsid w:val="00D86C26"/>
    <w:rsid w:val="00D90CE8"/>
    <w:rsid w:val="00D929EB"/>
    <w:rsid w:val="00D96A69"/>
    <w:rsid w:val="00DA6E16"/>
    <w:rsid w:val="00DB11AE"/>
    <w:rsid w:val="00DB2C96"/>
    <w:rsid w:val="00DC4A21"/>
    <w:rsid w:val="00DC6843"/>
    <w:rsid w:val="00DD0D47"/>
    <w:rsid w:val="00DD4891"/>
    <w:rsid w:val="00DD4BB7"/>
    <w:rsid w:val="00DD60EB"/>
    <w:rsid w:val="00DD6F0B"/>
    <w:rsid w:val="00DD79AD"/>
    <w:rsid w:val="00DE134A"/>
    <w:rsid w:val="00DE1745"/>
    <w:rsid w:val="00DE2688"/>
    <w:rsid w:val="00DE2A4D"/>
    <w:rsid w:val="00DE363D"/>
    <w:rsid w:val="00DE3D27"/>
    <w:rsid w:val="00DE60A7"/>
    <w:rsid w:val="00DE6334"/>
    <w:rsid w:val="00DE6867"/>
    <w:rsid w:val="00DE6C89"/>
    <w:rsid w:val="00DF1883"/>
    <w:rsid w:val="00DF1F02"/>
    <w:rsid w:val="00DF22AE"/>
    <w:rsid w:val="00DF341D"/>
    <w:rsid w:val="00E044A8"/>
    <w:rsid w:val="00E06032"/>
    <w:rsid w:val="00E07192"/>
    <w:rsid w:val="00E07F72"/>
    <w:rsid w:val="00E12C8E"/>
    <w:rsid w:val="00E1303B"/>
    <w:rsid w:val="00E1502D"/>
    <w:rsid w:val="00E22767"/>
    <w:rsid w:val="00E305C1"/>
    <w:rsid w:val="00E308E2"/>
    <w:rsid w:val="00E30D46"/>
    <w:rsid w:val="00E32C03"/>
    <w:rsid w:val="00E33CDD"/>
    <w:rsid w:val="00E33DD0"/>
    <w:rsid w:val="00E34E64"/>
    <w:rsid w:val="00E356F9"/>
    <w:rsid w:val="00E40B31"/>
    <w:rsid w:val="00E41BB4"/>
    <w:rsid w:val="00E41EAD"/>
    <w:rsid w:val="00E42A72"/>
    <w:rsid w:val="00E51FD0"/>
    <w:rsid w:val="00E522F8"/>
    <w:rsid w:val="00E54ADC"/>
    <w:rsid w:val="00E567A1"/>
    <w:rsid w:val="00E57313"/>
    <w:rsid w:val="00E62651"/>
    <w:rsid w:val="00E6789B"/>
    <w:rsid w:val="00E711C9"/>
    <w:rsid w:val="00E773AB"/>
    <w:rsid w:val="00E85D05"/>
    <w:rsid w:val="00E935A7"/>
    <w:rsid w:val="00E95030"/>
    <w:rsid w:val="00E96E58"/>
    <w:rsid w:val="00EA67B9"/>
    <w:rsid w:val="00EB0179"/>
    <w:rsid w:val="00EB0EA7"/>
    <w:rsid w:val="00EB1328"/>
    <w:rsid w:val="00EB30E0"/>
    <w:rsid w:val="00EB3FF0"/>
    <w:rsid w:val="00EB7A8E"/>
    <w:rsid w:val="00EC31C5"/>
    <w:rsid w:val="00EC4422"/>
    <w:rsid w:val="00EC6800"/>
    <w:rsid w:val="00EC6CDC"/>
    <w:rsid w:val="00EC71D5"/>
    <w:rsid w:val="00ED0A46"/>
    <w:rsid w:val="00ED3208"/>
    <w:rsid w:val="00ED34FA"/>
    <w:rsid w:val="00ED4DDA"/>
    <w:rsid w:val="00ED5D46"/>
    <w:rsid w:val="00EE0121"/>
    <w:rsid w:val="00EE16DD"/>
    <w:rsid w:val="00EE1BDA"/>
    <w:rsid w:val="00EE2036"/>
    <w:rsid w:val="00EE41DB"/>
    <w:rsid w:val="00EE5416"/>
    <w:rsid w:val="00EE5A9B"/>
    <w:rsid w:val="00EE7CF9"/>
    <w:rsid w:val="00EF081A"/>
    <w:rsid w:val="00EF2655"/>
    <w:rsid w:val="00EF432E"/>
    <w:rsid w:val="00EF541A"/>
    <w:rsid w:val="00EF55D4"/>
    <w:rsid w:val="00EF5687"/>
    <w:rsid w:val="00F010B4"/>
    <w:rsid w:val="00F02678"/>
    <w:rsid w:val="00F03247"/>
    <w:rsid w:val="00F06425"/>
    <w:rsid w:val="00F0762F"/>
    <w:rsid w:val="00F07652"/>
    <w:rsid w:val="00F07721"/>
    <w:rsid w:val="00F12AA7"/>
    <w:rsid w:val="00F12AC4"/>
    <w:rsid w:val="00F12F18"/>
    <w:rsid w:val="00F1429A"/>
    <w:rsid w:val="00F151C1"/>
    <w:rsid w:val="00F17189"/>
    <w:rsid w:val="00F17AF4"/>
    <w:rsid w:val="00F17B49"/>
    <w:rsid w:val="00F239BA"/>
    <w:rsid w:val="00F24EA4"/>
    <w:rsid w:val="00F25380"/>
    <w:rsid w:val="00F25B03"/>
    <w:rsid w:val="00F303B8"/>
    <w:rsid w:val="00F305B6"/>
    <w:rsid w:val="00F35DCB"/>
    <w:rsid w:val="00F37414"/>
    <w:rsid w:val="00F37A54"/>
    <w:rsid w:val="00F44285"/>
    <w:rsid w:val="00F452AF"/>
    <w:rsid w:val="00F45699"/>
    <w:rsid w:val="00F45B71"/>
    <w:rsid w:val="00F50C5E"/>
    <w:rsid w:val="00F52526"/>
    <w:rsid w:val="00F52D3C"/>
    <w:rsid w:val="00F559A0"/>
    <w:rsid w:val="00F65B92"/>
    <w:rsid w:val="00F67684"/>
    <w:rsid w:val="00F80427"/>
    <w:rsid w:val="00F84AFA"/>
    <w:rsid w:val="00F85D78"/>
    <w:rsid w:val="00F901EF"/>
    <w:rsid w:val="00F905A7"/>
    <w:rsid w:val="00F91E8F"/>
    <w:rsid w:val="00F938D2"/>
    <w:rsid w:val="00F93E5F"/>
    <w:rsid w:val="00F9525A"/>
    <w:rsid w:val="00F95973"/>
    <w:rsid w:val="00F9773B"/>
    <w:rsid w:val="00FA14FF"/>
    <w:rsid w:val="00FA4491"/>
    <w:rsid w:val="00FA78EC"/>
    <w:rsid w:val="00FB0440"/>
    <w:rsid w:val="00FB33AF"/>
    <w:rsid w:val="00FB70B8"/>
    <w:rsid w:val="00FC2BA9"/>
    <w:rsid w:val="00FC71F9"/>
    <w:rsid w:val="00FC7C37"/>
    <w:rsid w:val="00FD4F48"/>
    <w:rsid w:val="00FD5939"/>
    <w:rsid w:val="00FD74B6"/>
    <w:rsid w:val="00FE499C"/>
    <w:rsid w:val="00FE60EF"/>
    <w:rsid w:val="00FE67FE"/>
    <w:rsid w:val="00FF3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81"/>
    <o:shapelayout v:ext="edit">
      <o:idmap v:ext="edit" data="1"/>
    </o:shapelayout>
  </w:shapeDefaults>
  <w:decimalSymbol w:val="."/>
  <w:listSeparator w:val=","/>
  <w14:docId w14:val="6F70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8CA"/>
    <w:rPr>
      <w:szCs w:val="24"/>
    </w:rPr>
  </w:style>
  <w:style w:type="paragraph" w:styleId="Heading1">
    <w:name w:val="heading 1"/>
    <w:aliases w:val="H1"/>
    <w:basedOn w:val="Normal"/>
    <w:next w:val="Normal"/>
    <w:qFormat/>
    <w:rsid w:val="008678CA"/>
    <w:pPr>
      <w:keepNext/>
      <w:spacing w:before="240" w:after="60"/>
      <w:outlineLvl w:val="0"/>
    </w:pPr>
    <w:rPr>
      <w:rFonts w:ascii="Arial" w:hAnsi="Arial" w:cs="Arial"/>
      <w:b/>
      <w:bCs/>
      <w:kern w:val="32"/>
      <w:sz w:val="32"/>
      <w:szCs w:val="32"/>
    </w:rPr>
  </w:style>
  <w:style w:type="paragraph" w:styleId="Heading2">
    <w:name w:val="heading 2"/>
    <w:aliases w:val="H2"/>
    <w:basedOn w:val="Normal"/>
    <w:qFormat/>
    <w:rsid w:val="008678CA"/>
    <w:pPr>
      <w:tabs>
        <w:tab w:val="num" w:pos="1440"/>
      </w:tabs>
      <w:spacing w:before="240"/>
      <w:ind w:left="1440" w:hanging="720"/>
      <w:jc w:val="both"/>
      <w:outlineLvl w:val="1"/>
    </w:pPr>
    <w:rPr>
      <w:rFonts w:eastAsia="Times New Roman"/>
      <w:sz w:val="24"/>
      <w:szCs w:val="20"/>
      <w:lang w:val="en-US" w:eastAsia="en-US"/>
    </w:rPr>
  </w:style>
  <w:style w:type="paragraph" w:styleId="Heading3">
    <w:name w:val="heading 3"/>
    <w:aliases w:val="H3"/>
    <w:basedOn w:val="Normal"/>
    <w:next w:val="Normal"/>
    <w:qFormat/>
    <w:rsid w:val="008678CA"/>
    <w:pPr>
      <w:keepNext/>
      <w:spacing w:before="240" w:after="60"/>
      <w:outlineLvl w:val="2"/>
    </w:pPr>
    <w:rPr>
      <w:rFonts w:ascii="Arial" w:hAnsi="Arial" w:cs="Arial"/>
      <w:b/>
      <w:bCs/>
      <w:sz w:val="26"/>
      <w:szCs w:val="26"/>
    </w:rPr>
  </w:style>
  <w:style w:type="paragraph" w:styleId="Heading4">
    <w:name w:val="heading 4"/>
    <w:aliases w:val="H4"/>
    <w:basedOn w:val="Normal"/>
    <w:qFormat/>
    <w:rsid w:val="008678CA"/>
    <w:pPr>
      <w:tabs>
        <w:tab w:val="num" w:pos="2880"/>
      </w:tabs>
      <w:spacing w:before="240"/>
      <w:ind w:left="2880" w:hanging="720"/>
      <w:jc w:val="both"/>
      <w:outlineLvl w:val="3"/>
    </w:pPr>
    <w:rPr>
      <w:rFonts w:eastAsia="Times New Roman"/>
      <w:sz w:val="24"/>
      <w:szCs w:val="20"/>
      <w:lang w:val="en-US" w:eastAsia="en-US"/>
    </w:rPr>
  </w:style>
  <w:style w:type="paragraph" w:styleId="Heading5">
    <w:name w:val="heading 5"/>
    <w:aliases w:val="H5"/>
    <w:basedOn w:val="Normal"/>
    <w:qFormat/>
    <w:rsid w:val="008678CA"/>
    <w:pPr>
      <w:tabs>
        <w:tab w:val="num" w:pos="3600"/>
      </w:tabs>
      <w:spacing w:before="240"/>
      <w:ind w:left="3600" w:hanging="360"/>
      <w:jc w:val="both"/>
      <w:outlineLvl w:val="4"/>
    </w:pPr>
    <w:rPr>
      <w:rFonts w:eastAsia="Times New Roman"/>
      <w:sz w:val="24"/>
      <w:szCs w:val="20"/>
      <w:lang w:val="en-US" w:eastAsia="en-US"/>
    </w:rPr>
  </w:style>
  <w:style w:type="paragraph" w:styleId="Heading6">
    <w:name w:val="heading 6"/>
    <w:aliases w:val="H6"/>
    <w:basedOn w:val="Normal"/>
    <w:qFormat/>
    <w:rsid w:val="008678CA"/>
    <w:pPr>
      <w:tabs>
        <w:tab w:val="num" w:pos="4320"/>
      </w:tabs>
      <w:spacing w:before="240"/>
      <w:ind w:left="4320" w:hanging="720"/>
      <w:jc w:val="both"/>
      <w:outlineLvl w:val="5"/>
    </w:pPr>
    <w:rPr>
      <w:rFonts w:eastAsia="Times New Roman"/>
      <w:sz w:val="24"/>
      <w:szCs w:val="20"/>
      <w:lang w:val="en-US" w:eastAsia="en-US"/>
    </w:rPr>
  </w:style>
  <w:style w:type="paragraph" w:styleId="Heading7">
    <w:name w:val="heading 7"/>
    <w:aliases w:val="H7"/>
    <w:basedOn w:val="Normal"/>
    <w:qFormat/>
    <w:rsid w:val="008678CA"/>
    <w:pPr>
      <w:tabs>
        <w:tab w:val="num" w:pos="5040"/>
      </w:tabs>
      <w:spacing w:before="240"/>
      <w:ind w:left="5040" w:hanging="720"/>
      <w:jc w:val="both"/>
      <w:outlineLvl w:val="6"/>
    </w:pPr>
    <w:rPr>
      <w:rFonts w:eastAsia="Times New Roman"/>
      <w:sz w:val="24"/>
      <w:szCs w:val="20"/>
      <w:lang w:val="en-US" w:eastAsia="en-US"/>
    </w:rPr>
  </w:style>
  <w:style w:type="paragraph" w:styleId="Heading8">
    <w:name w:val="heading 8"/>
    <w:aliases w:val="H8"/>
    <w:basedOn w:val="Normal"/>
    <w:qFormat/>
    <w:rsid w:val="008678CA"/>
    <w:pPr>
      <w:tabs>
        <w:tab w:val="num" w:pos="5760"/>
      </w:tabs>
      <w:spacing w:before="240"/>
      <w:ind w:left="5760" w:hanging="360"/>
      <w:jc w:val="both"/>
      <w:outlineLvl w:val="7"/>
    </w:pPr>
    <w:rPr>
      <w:rFonts w:eastAsia="Times New Roman"/>
      <w:sz w:val="24"/>
      <w:szCs w:val="20"/>
      <w:lang w:val="en-US" w:eastAsia="en-US"/>
    </w:rPr>
  </w:style>
  <w:style w:type="paragraph" w:styleId="Heading9">
    <w:name w:val="heading 9"/>
    <w:aliases w:val="H9"/>
    <w:basedOn w:val="Normal"/>
    <w:qFormat/>
    <w:rsid w:val="008678CA"/>
    <w:pPr>
      <w:tabs>
        <w:tab w:val="num" w:pos="6480"/>
      </w:tabs>
      <w:spacing w:before="240"/>
      <w:ind w:left="6480" w:hanging="720"/>
      <w:jc w:val="both"/>
      <w:outlineLvl w:val="8"/>
    </w:pPr>
    <w:rPr>
      <w:rFonts w:eastAsia="Times New Roman"/>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link w:val="BodytextChar"/>
    <w:rsid w:val="008678CA"/>
    <w:pPr>
      <w:spacing w:after="120"/>
    </w:pPr>
  </w:style>
  <w:style w:type="paragraph" w:customStyle="1" w:styleId="Bodytextbold">
    <w:name w:val="Body text bold"/>
    <w:basedOn w:val="Normal"/>
    <w:rsid w:val="008678CA"/>
    <w:pPr>
      <w:spacing w:after="240"/>
    </w:pPr>
    <w:rPr>
      <w:b/>
    </w:rPr>
  </w:style>
  <w:style w:type="paragraph" w:customStyle="1" w:styleId="HeadingA">
    <w:name w:val="Heading A"/>
    <w:basedOn w:val="Normal"/>
    <w:rsid w:val="008678CA"/>
    <w:pPr>
      <w:spacing w:after="120"/>
    </w:pPr>
    <w:rPr>
      <w:b/>
      <w:caps/>
      <w:szCs w:val="20"/>
    </w:rPr>
  </w:style>
  <w:style w:type="paragraph" w:customStyle="1" w:styleId="HeadingB">
    <w:name w:val="Heading B"/>
    <w:basedOn w:val="Normal"/>
    <w:link w:val="HeadingBChar"/>
    <w:rsid w:val="008678CA"/>
    <w:pPr>
      <w:spacing w:after="120"/>
    </w:pPr>
    <w:rPr>
      <w:b/>
    </w:rPr>
  </w:style>
  <w:style w:type="paragraph" w:customStyle="1" w:styleId="Bullet">
    <w:name w:val="Bullet"/>
    <w:basedOn w:val="Normal"/>
    <w:link w:val="BulletChar"/>
    <w:rsid w:val="008678CA"/>
    <w:pPr>
      <w:numPr>
        <w:numId w:val="1"/>
      </w:numPr>
      <w:spacing w:after="120"/>
      <w:contextualSpacing/>
    </w:pPr>
  </w:style>
  <w:style w:type="table" w:styleId="TableGrid">
    <w:name w:val="Table Grid"/>
    <w:basedOn w:val="TableNormal"/>
    <w:uiPriority w:val="59"/>
    <w:rsid w:val="00867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Normal"/>
    <w:rsid w:val="008678CA"/>
    <w:pPr>
      <w:spacing w:after="120"/>
      <w:jc w:val="center"/>
    </w:pPr>
    <w:rPr>
      <w:rFonts w:ascii="Barclays Sans" w:hAnsi="Barclays Sans"/>
      <w:b/>
      <w:sz w:val="24"/>
    </w:rPr>
  </w:style>
  <w:style w:type="paragraph" w:customStyle="1" w:styleId="Title2">
    <w:name w:val="Title 2"/>
    <w:basedOn w:val="Title1"/>
    <w:rsid w:val="008678CA"/>
    <w:rPr>
      <w:sz w:val="20"/>
    </w:rPr>
  </w:style>
  <w:style w:type="paragraph" w:customStyle="1" w:styleId="StyleTitle1LightBlue">
    <w:name w:val="Style Title 1 + Light Blue"/>
    <w:basedOn w:val="Title1"/>
    <w:rsid w:val="008678CA"/>
    <w:rPr>
      <w:bCs/>
      <w:color w:val="3366FF"/>
      <w:sz w:val="28"/>
    </w:rPr>
  </w:style>
  <w:style w:type="character" w:customStyle="1" w:styleId="BulletChar">
    <w:name w:val="Bullet Char"/>
    <w:basedOn w:val="DefaultParagraphFont"/>
    <w:link w:val="Bullet"/>
    <w:rsid w:val="008678CA"/>
    <w:rPr>
      <w:szCs w:val="24"/>
    </w:rPr>
  </w:style>
  <w:style w:type="paragraph" w:styleId="Footer">
    <w:name w:val="footer"/>
    <w:basedOn w:val="Normal"/>
    <w:link w:val="FooterChar"/>
    <w:uiPriority w:val="99"/>
    <w:rsid w:val="008678CA"/>
    <w:pPr>
      <w:tabs>
        <w:tab w:val="center" w:pos="4320"/>
        <w:tab w:val="right" w:pos="8640"/>
      </w:tabs>
    </w:pPr>
  </w:style>
  <w:style w:type="character" w:styleId="PageNumber">
    <w:name w:val="page number"/>
    <w:basedOn w:val="DefaultParagraphFont"/>
    <w:rsid w:val="008678CA"/>
  </w:style>
  <w:style w:type="paragraph" w:styleId="Header">
    <w:name w:val="header"/>
    <w:basedOn w:val="Normal"/>
    <w:link w:val="HeaderChar"/>
    <w:rsid w:val="008678CA"/>
    <w:pPr>
      <w:tabs>
        <w:tab w:val="center" w:pos="4320"/>
        <w:tab w:val="right" w:pos="8640"/>
      </w:tabs>
    </w:pPr>
  </w:style>
  <w:style w:type="paragraph" w:styleId="BalloonText">
    <w:name w:val="Balloon Text"/>
    <w:basedOn w:val="Normal"/>
    <w:semiHidden/>
    <w:rsid w:val="008678CA"/>
    <w:rPr>
      <w:rFonts w:ascii="Tahoma" w:hAnsi="Tahoma" w:cs="Tahoma"/>
      <w:sz w:val="16"/>
      <w:szCs w:val="16"/>
    </w:rPr>
  </w:style>
  <w:style w:type="paragraph" w:styleId="BodyText">
    <w:name w:val="Body Text"/>
    <w:aliases w:val="b"/>
    <w:basedOn w:val="Normal"/>
    <w:link w:val="BodyTextChar0"/>
    <w:rsid w:val="008678CA"/>
    <w:pPr>
      <w:spacing w:after="60"/>
      <w:jc w:val="both"/>
    </w:pPr>
    <w:rPr>
      <w:rFonts w:ascii="Arial" w:hAnsi="Arial"/>
      <w:sz w:val="18"/>
    </w:rPr>
  </w:style>
  <w:style w:type="character" w:customStyle="1" w:styleId="BodyTextChar0">
    <w:name w:val="Body Text Char"/>
    <w:aliases w:val="b Char"/>
    <w:basedOn w:val="DefaultParagraphFont"/>
    <w:link w:val="BodyText"/>
    <w:rsid w:val="008678CA"/>
    <w:rPr>
      <w:rFonts w:ascii="Arial" w:hAnsi="Arial"/>
      <w:sz w:val="18"/>
      <w:szCs w:val="24"/>
      <w:lang w:val="en-GB" w:eastAsia="en-GB" w:bidi="ar-SA"/>
    </w:rPr>
  </w:style>
  <w:style w:type="paragraph" w:customStyle="1" w:styleId="HeadingC">
    <w:name w:val="Heading C"/>
    <w:basedOn w:val="HeadingB"/>
    <w:rsid w:val="008678CA"/>
    <w:pPr>
      <w:keepNext/>
    </w:pPr>
    <w:rPr>
      <w:b w:val="0"/>
      <w:i/>
    </w:rPr>
  </w:style>
  <w:style w:type="character" w:styleId="Hyperlink">
    <w:name w:val="Hyperlink"/>
    <w:basedOn w:val="DefaultParagraphFont"/>
    <w:rsid w:val="008678CA"/>
    <w:rPr>
      <w:color w:val="0000FF"/>
      <w:u w:val="single"/>
    </w:rPr>
  </w:style>
  <w:style w:type="character" w:customStyle="1" w:styleId="BodytextChar">
    <w:name w:val="Body text Char"/>
    <w:basedOn w:val="DefaultParagraphFont"/>
    <w:link w:val="BodyText1"/>
    <w:rsid w:val="008678CA"/>
    <w:rPr>
      <w:rFonts w:eastAsia="MS Mincho"/>
      <w:szCs w:val="24"/>
      <w:lang w:val="en-GB" w:eastAsia="en-GB" w:bidi="ar-SA"/>
    </w:rPr>
  </w:style>
  <w:style w:type="paragraph" w:styleId="NormalWeb">
    <w:name w:val="Normal (Web)"/>
    <w:basedOn w:val="Normal"/>
    <w:rsid w:val="008678CA"/>
    <w:pPr>
      <w:spacing w:before="100" w:beforeAutospacing="1" w:after="100" w:afterAutospacing="1"/>
    </w:pPr>
    <w:rPr>
      <w:rFonts w:eastAsia="Times New Roman"/>
      <w:sz w:val="24"/>
      <w:lang w:val="en-US" w:eastAsia="en-US"/>
    </w:rPr>
  </w:style>
  <w:style w:type="paragraph" w:customStyle="1" w:styleId="BodyMain">
    <w:name w:val="Body Main"/>
    <w:aliases w:val="BM,BodyMain,BodyMain Cont'd,normal + 11 pt,Red"/>
    <w:basedOn w:val="Normal"/>
    <w:link w:val="BodyMainChar"/>
    <w:rsid w:val="008678CA"/>
    <w:pPr>
      <w:spacing w:before="240"/>
      <w:jc w:val="both"/>
    </w:pPr>
    <w:rPr>
      <w:rFonts w:eastAsia="Times New Roman"/>
      <w:sz w:val="24"/>
      <w:szCs w:val="20"/>
      <w:lang w:val="en-US" w:eastAsia="en-US"/>
    </w:rPr>
  </w:style>
  <w:style w:type="character" w:customStyle="1" w:styleId="BodyMainChar">
    <w:name w:val="Body Main Char"/>
    <w:aliases w:val="BM Char,BodyMain Char,BodyMain Cont'd Char"/>
    <w:basedOn w:val="DefaultParagraphFont"/>
    <w:link w:val="BodyMain"/>
    <w:rsid w:val="008678CA"/>
    <w:rPr>
      <w:sz w:val="24"/>
      <w:lang w:val="en-US" w:eastAsia="en-US" w:bidi="ar-SA"/>
    </w:rPr>
  </w:style>
  <w:style w:type="paragraph" w:customStyle="1" w:styleId="StyleHeading11Arial10ptBoldNotItalicBlack">
    <w:name w:val="Style Heading 11 + Arial 10 pt Bold Not Italic Black"/>
    <w:basedOn w:val="Heading1"/>
    <w:link w:val="StyleHeading11Arial10ptBoldNotItalicBlackChar"/>
    <w:rsid w:val="008678CA"/>
    <w:pPr>
      <w:autoSpaceDE w:val="0"/>
      <w:autoSpaceDN w:val="0"/>
      <w:adjustRightInd w:val="0"/>
      <w:spacing w:before="0" w:after="0"/>
      <w:jc w:val="center"/>
    </w:pPr>
    <w:rPr>
      <w:rFonts w:eastAsia="Times New Roman" w:cs="Times New Roman"/>
      <w:color w:val="000000"/>
      <w:w w:val="0"/>
      <w:kern w:val="0"/>
      <w:sz w:val="20"/>
      <w:szCs w:val="18"/>
      <w:lang w:val="en-US"/>
    </w:rPr>
  </w:style>
  <w:style w:type="character" w:customStyle="1" w:styleId="StyleHeading11Arial10ptBoldNotItalicBlackChar">
    <w:name w:val="Style Heading 11 + Arial 10 pt Bold Not Italic Black Char"/>
    <w:basedOn w:val="DefaultParagraphFont"/>
    <w:link w:val="StyleHeading11Arial10ptBoldNotItalicBlack"/>
    <w:rsid w:val="008678CA"/>
    <w:rPr>
      <w:rFonts w:ascii="Arial" w:hAnsi="Arial"/>
      <w:b/>
      <w:bCs/>
      <w:color w:val="000000"/>
      <w:w w:val="0"/>
      <w:szCs w:val="18"/>
      <w:lang w:val="en-US" w:eastAsia="en-GB" w:bidi="ar-SA"/>
    </w:rPr>
  </w:style>
  <w:style w:type="character" w:customStyle="1" w:styleId="bCharChar">
    <w:name w:val="b Char Char"/>
    <w:basedOn w:val="DefaultParagraphFont"/>
    <w:rsid w:val="008678CA"/>
    <w:rPr>
      <w:lang w:val="en-US" w:eastAsia="en-US" w:bidi="ar-SA"/>
    </w:rPr>
  </w:style>
  <w:style w:type="paragraph" w:styleId="FootnoteText">
    <w:name w:val="footnote text"/>
    <w:aliases w:val="FT"/>
    <w:basedOn w:val="Normal"/>
    <w:semiHidden/>
    <w:rsid w:val="008678CA"/>
    <w:pPr>
      <w:autoSpaceDE w:val="0"/>
      <w:autoSpaceDN w:val="0"/>
      <w:adjustRightInd w:val="0"/>
      <w:spacing w:after="240"/>
      <w:ind w:left="720" w:hanging="720"/>
    </w:pPr>
    <w:rPr>
      <w:rFonts w:ascii="Arial" w:eastAsia="Times New Roman" w:hAnsi="Arial" w:cs="Arial"/>
      <w:sz w:val="16"/>
      <w:szCs w:val="20"/>
      <w:lang w:val="en-US"/>
    </w:rPr>
  </w:style>
  <w:style w:type="character" w:styleId="FootnoteReference">
    <w:name w:val="footnote reference"/>
    <w:basedOn w:val="DefaultParagraphFont"/>
    <w:semiHidden/>
    <w:rsid w:val="008678CA"/>
    <w:rPr>
      <w:spacing w:val="0"/>
      <w:vertAlign w:val="superscript"/>
    </w:rPr>
  </w:style>
  <w:style w:type="character" w:customStyle="1" w:styleId="HeaderChar">
    <w:name w:val="Header Char"/>
    <w:basedOn w:val="DefaultParagraphFont"/>
    <w:link w:val="Header"/>
    <w:locked/>
    <w:rsid w:val="008678CA"/>
    <w:rPr>
      <w:rFonts w:eastAsia="MS Mincho"/>
      <w:szCs w:val="24"/>
      <w:lang w:val="en-GB" w:eastAsia="en-GB" w:bidi="ar-SA"/>
    </w:rPr>
  </w:style>
  <w:style w:type="paragraph" w:customStyle="1" w:styleId="CoverSubtitle">
    <w:name w:val="Cover Subtitle"/>
    <w:basedOn w:val="Normal"/>
    <w:rsid w:val="008678CA"/>
    <w:pPr>
      <w:autoSpaceDE w:val="0"/>
      <w:autoSpaceDN w:val="0"/>
      <w:adjustRightInd w:val="0"/>
      <w:spacing w:after="60"/>
      <w:jc w:val="center"/>
    </w:pPr>
    <w:rPr>
      <w:rFonts w:ascii="Arial" w:eastAsia="Times New Roman" w:hAnsi="Arial" w:cs="Arial"/>
      <w:b/>
      <w:bCs/>
      <w:szCs w:val="20"/>
      <w:lang w:val="en-US" w:eastAsia="en-US"/>
    </w:rPr>
  </w:style>
  <w:style w:type="character" w:styleId="FollowedHyperlink">
    <w:name w:val="FollowedHyperlink"/>
    <w:basedOn w:val="DefaultParagraphFont"/>
    <w:rsid w:val="008678CA"/>
    <w:rPr>
      <w:color w:val="606420"/>
      <w:u w:val="single"/>
    </w:rPr>
  </w:style>
  <w:style w:type="character" w:customStyle="1" w:styleId="FooterChar">
    <w:name w:val="Footer Char"/>
    <w:basedOn w:val="DefaultParagraphFont"/>
    <w:link w:val="Footer"/>
    <w:uiPriority w:val="99"/>
    <w:locked/>
    <w:rsid w:val="008678CA"/>
    <w:rPr>
      <w:szCs w:val="24"/>
    </w:rPr>
  </w:style>
  <w:style w:type="character" w:customStyle="1" w:styleId="BodyCoverChar">
    <w:name w:val="Body Cover Char"/>
    <w:aliases w:val="BV Char"/>
    <w:basedOn w:val="DefaultParagraphFont"/>
    <w:link w:val="BodyCover"/>
    <w:locked/>
    <w:rsid w:val="008678CA"/>
    <w:rPr>
      <w:sz w:val="24"/>
      <w:szCs w:val="24"/>
    </w:rPr>
  </w:style>
  <w:style w:type="paragraph" w:customStyle="1" w:styleId="BodyCover">
    <w:name w:val="Body Cover"/>
    <w:aliases w:val="BV"/>
    <w:basedOn w:val="Normal"/>
    <w:link w:val="BodyCoverChar"/>
    <w:rsid w:val="008678CA"/>
    <w:pPr>
      <w:autoSpaceDE w:val="0"/>
      <w:autoSpaceDN w:val="0"/>
      <w:adjustRightInd w:val="0"/>
      <w:spacing w:before="200"/>
      <w:ind w:firstLine="360"/>
    </w:pPr>
    <w:rPr>
      <w:sz w:val="24"/>
    </w:rPr>
  </w:style>
  <w:style w:type="paragraph" w:customStyle="1" w:styleId="CG-SingleSp">
    <w:name w:val="CG-Single Sp"/>
    <w:aliases w:val="s1"/>
    <w:basedOn w:val="Normal"/>
    <w:rsid w:val="008678CA"/>
    <w:pPr>
      <w:spacing w:after="240"/>
    </w:pPr>
    <w:rPr>
      <w:rFonts w:eastAsia="Times New Roman" w:cs="Tahoma"/>
      <w:sz w:val="24"/>
      <w:szCs w:val="20"/>
      <w:lang w:val="en-US" w:eastAsia="en-US"/>
    </w:rPr>
  </w:style>
  <w:style w:type="paragraph" w:customStyle="1" w:styleId="Body6">
    <w:name w:val="Body6"/>
    <w:basedOn w:val="Normal"/>
    <w:next w:val="Normal"/>
    <w:rsid w:val="008678CA"/>
    <w:pPr>
      <w:spacing w:before="100"/>
    </w:pPr>
    <w:rPr>
      <w:rFonts w:ascii="Arial" w:eastAsia="Times New Roman" w:hAnsi="Arial"/>
      <w:sz w:val="18"/>
      <w:szCs w:val="20"/>
      <w:lang w:eastAsia="en-US"/>
    </w:rPr>
  </w:style>
  <w:style w:type="paragraph" w:customStyle="1" w:styleId="ListBullet-Whiteonblue4">
    <w:name w:val="List Bullet - White on blue4"/>
    <w:basedOn w:val="ListBullet"/>
    <w:next w:val="Normal"/>
    <w:uiPriority w:val="99"/>
    <w:rsid w:val="008678CA"/>
    <w:pPr>
      <w:numPr>
        <w:numId w:val="0"/>
      </w:numPr>
      <w:spacing w:before="100" w:after="100"/>
      <w:ind w:left="360" w:hanging="360"/>
      <w:contextualSpacing w:val="0"/>
    </w:pPr>
    <w:rPr>
      <w:rFonts w:ascii="Arial" w:eastAsia="Times New Roman" w:hAnsi="Arial"/>
      <w:color w:val="FFFFFF"/>
      <w:szCs w:val="20"/>
      <w:lang w:eastAsia="en-US"/>
    </w:rPr>
  </w:style>
  <w:style w:type="paragraph" w:styleId="ListBullet">
    <w:name w:val="List Bullet"/>
    <w:basedOn w:val="Normal"/>
    <w:rsid w:val="008678CA"/>
    <w:pPr>
      <w:numPr>
        <w:numId w:val="11"/>
      </w:numPr>
      <w:ind w:left="360" w:hanging="360"/>
      <w:contextualSpacing/>
    </w:pPr>
  </w:style>
  <w:style w:type="character" w:customStyle="1" w:styleId="DeltaViewInsertion">
    <w:name w:val="DeltaView Insertion"/>
    <w:uiPriority w:val="99"/>
    <w:rsid w:val="008678CA"/>
    <w:rPr>
      <w:color w:val="0000FF"/>
      <w:u w:val="double"/>
    </w:rPr>
  </w:style>
  <w:style w:type="paragraph" w:styleId="Revision">
    <w:name w:val="Revision"/>
    <w:hidden/>
    <w:uiPriority w:val="99"/>
    <w:semiHidden/>
    <w:rsid w:val="00407D84"/>
    <w:rPr>
      <w:szCs w:val="24"/>
    </w:rPr>
  </w:style>
  <w:style w:type="paragraph" w:styleId="ListParagraph">
    <w:name w:val="List Paragraph"/>
    <w:basedOn w:val="Normal"/>
    <w:uiPriority w:val="34"/>
    <w:qFormat/>
    <w:rsid w:val="00F303B8"/>
    <w:pPr>
      <w:ind w:left="720"/>
    </w:pPr>
  </w:style>
  <w:style w:type="paragraph" w:customStyle="1" w:styleId="BodyText2">
    <w:name w:val="Body Text2"/>
    <w:basedOn w:val="Normal"/>
    <w:rsid w:val="00F303B8"/>
    <w:pPr>
      <w:spacing w:after="120"/>
    </w:pPr>
  </w:style>
  <w:style w:type="character" w:customStyle="1" w:styleId="HeadingBChar">
    <w:name w:val="Heading B Char"/>
    <w:link w:val="HeadingB"/>
    <w:locked/>
    <w:rsid w:val="00825A26"/>
    <w:rPr>
      <w:b/>
      <w:szCs w:val="24"/>
    </w:rPr>
  </w:style>
  <w:style w:type="paragraph" w:styleId="ListNumber3">
    <w:name w:val="List Number 3"/>
    <w:basedOn w:val="Normal"/>
    <w:rsid w:val="006D24C8"/>
    <w:pPr>
      <w:widowControl w:val="0"/>
      <w:numPr>
        <w:numId w:val="40"/>
      </w:numPr>
      <w:spacing w:after="160" w:line="340" w:lineRule="exact"/>
    </w:pPr>
    <w:rPr>
      <w:rFonts w:ascii="Expert Serif Regular" w:hAnsi="Expert Serif Regular"/>
      <w:lang w:eastAsia="en-US"/>
    </w:rPr>
  </w:style>
  <w:style w:type="paragraph" w:customStyle="1" w:styleId="fdBodyText">
    <w:name w:val="fd Body Text"/>
    <w:basedOn w:val="Normal"/>
    <w:rsid w:val="00F67684"/>
    <w:pPr>
      <w:spacing w:after="200"/>
    </w:pPr>
    <w:rPr>
      <w:rFonts w:ascii="Arial" w:eastAsia="Times New Roman" w:hAnsi="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32737">
      <w:bodyDiv w:val="1"/>
      <w:marLeft w:val="0"/>
      <w:marRight w:val="0"/>
      <w:marTop w:val="0"/>
      <w:marBottom w:val="0"/>
      <w:divBdr>
        <w:top w:val="none" w:sz="0" w:space="0" w:color="auto"/>
        <w:left w:val="none" w:sz="0" w:space="0" w:color="auto"/>
        <w:bottom w:val="none" w:sz="0" w:space="0" w:color="auto"/>
        <w:right w:val="none" w:sz="0" w:space="0" w:color="auto"/>
      </w:divBdr>
    </w:div>
    <w:div w:id="94251854">
      <w:bodyDiv w:val="1"/>
      <w:marLeft w:val="0"/>
      <w:marRight w:val="0"/>
      <w:marTop w:val="0"/>
      <w:marBottom w:val="0"/>
      <w:divBdr>
        <w:top w:val="none" w:sz="0" w:space="0" w:color="auto"/>
        <w:left w:val="none" w:sz="0" w:space="0" w:color="auto"/>
        <w:bottom w:val="none" w:sz="0" w:space="0" w:color="auto"/>
        <w:right w:val="none" w:sz="0" w:space="0" w:color="auto"/>
      </w:divBdr>
    </w:div>
    <w:div w:id="130364013">
      <w:bodyDiv w:val="1"/>
      <w:marLeft w:val="0"/>
      <w:marRight w:val="0"/>
      <w:marTop w:val="0"/>
      <w:marBottom w:val="0"/>
      <w:divBdr>
        <w:top w:val="none" w:sz="0" w:space="0" w:color="auto"/>
        <w:left w:val="none" w:sz="0" w:space="0" w:color="auto"/>
        <w:bottom w:val="none" w:sz="0" w:space="0" w:color="auto"/>
        <w:right w:val="none" w:sz="0" w:space="0" w:color="auto"/>
      </w:divBdr>
    </w:div>
    <w:div w:id="172770256">
      <w:bodyDiv w:val="1"/>
      <w:marLeft w:val="0"/>
      <w:marRight w:val="0"/>
      <w:marTop w:val="0"/>
      <w:marBottom w:val="0"/>
      <w:divBdr>
        <w:top w:val="none" w:sz="0" w:space="0" w:color="auto"/>
        <w:left w:val="none" w:sz="0" w:space="0" w:color="auto"/>
        <w:bottom w:val="none" w:sz="0" w:space="0" w:color="auto"/>
        <w:right w:val="none" w:sz="0" w:space="0" w:color="auto"/>
      </w:divBdr>
    </w:div>
    <w:div w:id="178200179">
      <w:bodyDiv w:val="1"/>
      <w:marLeft w:val="0"/>
      <w:marRight w:val="0"/>
      <w:marTop w:val="0"/>
      <w:marBottom w:val="0"/>
      <w:divBdr>
        <w:top w:val="none" w:sz="0" w:space="0" w:color="auto"/>
        <w:left w:val="none" w:sz="0" w:space="0" w:color="auto"/>
        <w:bottom w:val="none" w:sz="0" w:space="0" w:color="auto"/>
        <w:right w:val="none" w:sz="0" w:space="0" w:color="auto"/>
      </w:divBdr>
    </w:div>
    <w:div w:id="289167557">
      <w:bodyDiv w:val="1"/>
      <w:marLeft w:val="0"/>
      <w:marRight w:val="0"/>
      <w:marTop w:val="0"/>
      <w:marBottom w:val="0"/>
      <w:divBdr>
        <w:top w:val="none" w:sz="0" w:space="0" w:color="auto"/>
        <w:left w:val="none" w:sz="0" w:space="0" w:color="auto"/>
        <w:bottom w:val="none" w:sz="0" w:space="0" w:color="auto"/>
        <w:right w:val="none" w:sz="0" w:space="0" w:color="auto"/>
      </w:divBdr>
    </w:div>
    <w:div w:id="342056416">
      <w:bodyDiv w:val="1"/>
      <w:marLeft w:val="0"/>
      <w:marRight w:val="0"/>
      <w:marTop w:val="0"/>
      <w:marBottom w:val="0"/>
      <w:divBdr>
        <w:top w:val="none" w:sz="0" w:space="0" w:color="auto"/>
        <w:left w:val="none" w:sz="0" w:space="0" w:color="auto"/>
        <w:bottom w:val="none" w:sz="0" w:space="0" w:color="auto"/>
        <w:right w:val="none" w:sz="0" w:space="0" w:color="auto"/>
      </w:divBdr>
    </w:div>
    <w:div w:id="348946068">
      <w:bodyDiv w:val="1"/>
      <w:marLeft w:val="0"/>
      <w:marRight w:val="0"/>
      <w:marTop w:val="0"/>
      <w:marBottom w:val="0"/>
      <w:divBdr>
        <w:top w:val="none" w:sz="0" w:space="0" w:color="auto"/>
        <w:left w:val="none" w:sz="0" w:space="0" w:color="auto"/>
        <w:bottom w:val="none" w:sz="0" w:space="0" w:color="auto"/>
        <w:right w:val="none" w:sz="0" w:space="0" w:color="auto"/>
      </w:divBdr>
    </w:div>
    <w:div w:id="413547505">
      <w:bodyDiv w:val="1"/>
      <w:marLeft w:val="0"/>
      <w:marRight w:val="0"/>
      <w:marTop w:val="0"/>
      <w:marBottom w:val="0"/>
      <w:divBdr>
        <w:top w:val="none" w:sz="0" w:space="0" w:color="auto"/>
        <w:left w:val="none" w:sz="0" w:space="0" w:color="auto"/>
        <w:bottom w:val="none" w:sz="0" w:space="0" w:color="auto"/>
        <w:right w:val="none" w:sz="0" w:space="0" w:color="auto"/>
      </w:divBdr>
    </w:div>
    <w:div w:id="417098822">
      <w:bodyDiv w:val="1"/>
      <w:marLeft w:val="0"/>
      <w:marRight w:val="0"/>
      <w:marTop w:val="0"/>
      <w:marBottom w:val="0"/>
      <w:divBdr>
        <w:top w:val="none" w:sz="0" w:space="0" w:color="auto"/>
        <w:left w:val="none" w:sz="0" w:space="0" w:color="auto"/>
        <w:bottom w:val="none" w:sz="0" w:space="0" w:color="auto"/>
        <w:right w:val="none" w:sz="0" w:space="0" w:color="auto"/>
      </w:divBdr>
    </w:div>
    <w:div w:id="441149774">
      <w:bodyDiv w:val="1"/>
      <w:marLeft w:val="0"/>
      <w:marRight w:val="0"/>
      <w:marTop w:val="0"/>
      <w:marBottom w:val="0"/>
      <w:divBdr>
        <w:top w:val="none" w:sz="0" w:space="0" w:color="auto"/>
        <w:left w:val="none" w:sz="0" w:space="0" w:color="auto"/>
        <w:bottom w:val="none" w:sz="0" w:space="0" w:color="auto"/>
        <w:right w:val="none" w:sz="0" w:space="0" w:color="auto"/>
      </w:divBdr>
    </w:div>
    <w:div w:id="502430765">
      <w:bodyDiv w:val="1"/>
      <w:marLeft w:val="0"/>
      <w:marRight w:val="0"/>
      <w:marTop w:val="0"/>
      <w:marBottom w:val="0"/>
      <w:divBdr>
        <w:top w:val="none" w:sz="0" w:space="0" w:color="auto"/>
        <w:left w:val="none" w:sz="0" w:space="0" w:color="auto"/>
        <w:bottom w:val="none" w:sz="0" w:space="0" w:color="auto"/>
        <w:right w:val="none" w:sz="0" w:space="0" w:color="auto"/>
      </w:divBdr>
    </w:div>
    <w:div w:id="510796043">
      <w:bodyDiv w:val="1"/>
      <w:marLeft w:val="0"/>
      <w:marRight w:val="0"/>
      <w:marTop w:val="0"/>
      <w:marBottom w:val="0"/>
      <w:divBdr>
        <w:top w:val="none" w:sz="0" w:space="0" w:color="auto"/>
        <w:left w:val="none" w:sz="0" w:space="0" w:color="auto"/>
        <w:bottom w:val="none" w:sz="0" w:space="0" w:color="auto"/>
        <w:right w:val="none" w:sz="0" w:space="0" w:color="auto"/>
      </w:divBdr>
    </w:div>
    <w:div w:id="555092294">
      <w:bodyDiv w:val="1"/>
      <w:marLeft w:val="0"/>
      <w:marRight w:val="0"/>
      <w:marTop w:val="0"/>
      <w:marBottom w:val="0"/>
      <w:divBdr>
        <w:top w:val="none" w:sz="0" w:space="0" w:color="auto"/>
        <w:left w:val="none" w:sz="0" w:space="0" w:color="auto"/>
        <w:bottom w:val="none" w:sz="0" w:space="0" w:color="auto"/>
        <w:right w:val="none" w:sz="0" w:space="0" w:color="auto"/>
      </w:divBdr>
    </w:div>
    <w:div w:id="592855714">
      <w:bodyDiv w:val="1"/>
      <w:marLeft w:val="0"/>
      <w:marRight w:val="0"/>
      <w:marTop w:val="0"/>
      <w:marBottom w:val="0"/>
      <w:divBdr>
        <w:top w:val="none" w:sz="0" w:space="0" w:color="auto"/>
        <w:left w:val="none" w:sz="0" w:space="0" w:color="auto"/>
        <w:bottom w:val="none" w:sz="0" w:space="0" w:color="auto"/>
        <w:right w:val="none" w:sz="0" w:space="0" w:color="auto"/>
      </w:divBdr>
    </w:div>
    <w:div w:id="605314140">
      <w:bodyDiv w:val="1"/>
      <w:marLeft w:val="0"/>
      <w:marRight w:val="0"/>
      <w:marTop w:val="0"/>
      <w:marBottom w:val="0"/>
      <w:divBdr>
        <w:top w:val="none" w:sz="0" w:space="0" w:color="auto"/>
        <w:left w:val="none" w:sz="0" w:space="0" w:color="auto"/>
        <w:bottom w:val="none" w:sz="0" w:space="0" w:color="auto"/>
        <w:right w:val="none" w:sz="0" w:space="0" w:color="auto"/>
      </w:divBdr>
    </w:div>
    <w:div w:id="633145762">
      <w:bodyDiv w:val="1"/>
      <w:marLeft w:val="0"/>
      <w:marRight w:val="0"/>
      <w:marTop w:val="0"/>
      <w:marBottom w:val="0"/>
      <w:divBdr>
        <w:top w:val="none" w:sz="0" w:space="0" w:color="auto"/>
        <w:left w:val="none" w:sz="0" w:space="0" w:color="auto"/>
        <w:bottom w:val="none" w:sz="0" w:space="0" w:color="auto"/>
        <w:right w:val="none" w:sz="0" w:space="0" w:color="auto"/>
      </w:divBdr>
    </w:div>
    <w:div w:id="644091786">
      <w:bodyDiv w:val="1"/>
      <w:marLeft w:val="0"/>
      <w:marRight w:val="0"/>
      <w:marTop w:val="0"/>
      <w:marBottom w:val="0"/>
      <w:divBdr>
        <w:top w:val="none" w:sz="0" w:space="0" w:color="auto"/>
        <w:left w:val="none" w:sz="0" w:space="0" w:color="auto"/>
        <w:bottom w:val="none" w:sz="0" w:space="0" w:color="auto"/>
        <w:right w:val="none" w:sz="0" w:space="0" w:color="auto"/>
      </w:divBdr>
    </w:div>
    <w:div w:id="677386060">
      <w:bodyDiv w:val="1"/>
      <w:marLeft w:val="0"/>
      <w:marRight w:val="0"/>
      <w:marTop w:val="0"/>
      <w:marBottom w:val="0"/>
      <w:divBdr>
        <w:top w:val="none" w:sz="0" w:space="0" w:color="auto"/>
        <w:left w:val="none" w:sz="0" w:space="0" w:color="auto"/>
        <w:bottom w:val="none" w:sz="0" w:space="0" w:color="auto"/>
        <w:right w:val="none" w:sz="0" w:space="0" w:color="auto"/>
      </w:divBdr>
    </w:div>
    <w:div w:id="716783706">
      <w:bodyDiv w:val="1"/>
      <w:marLeft w:val="0"/>
      <w:marRight w:val="0"/>
      <w:marTop w:val="0"/>
      <w:marBottom w:val="0"/>
      <w:divBdr>
        <w:top w:val="none" w:sz="0" w:space="0" w:color="auto"/>
        <w:left w:val="none" w:sz="0" w:space="0" w:color="auto"/>
        <w:bottom w:val="none" w:sz="0" w:space="0" w:color="auto"/>
        <w:right w:val="none" w:sz="0" w:space="0" w:color="auto"/>
      </w:divBdr>
    </w:div>
    <w:div w:id="721441851">
      <w:bodyDiv w:val="1"/>
      <w:marLeft w:val="0"/>
      <w:marRight w:val="0"/>
      <w:marTop w:val="0"/>
      <w:marBottom w:val="0"/>
      <w:divBdr>
        <w:top w:val="none" w:sz="0" w:space="0" w:color="auto"/>
        <w:left w:val="none" w:sz="0" w:space="0" w:color="auto"/>
        <w:bottom w:val="none" w:sz="0" w:space="0" w:color="auto"/>
        <w:right w:val="none" w:sz="0" w:space="0" w:color="auto"/>
      </w:divBdr>
    </w:div>
    <w:div w:id="733620541">
      <w:bodyDiv w:val="1"/>
      <w:marLeft w:val="0"/>
      <w:marRight w:val="0"/>
      <w:marTop w:val="0"/>
      <w:marBottom w:val="0"/>
      <w:divBdr>
        <w:top w:val="none" w:sz="0" w:space="0" w:color="auto"/>
        <w:left w:val="none" w:sz="0" w:space="0" w:color="auto"/>
        <w:bottom w:val="none" w:sz="0" w:space="0" w:color="auto"/>
        <w:right w:val="none" w:sz="0" w:space="0" w:color="auto"/>
      </w:divBdr>
    </w:div>
    <w:div w:id="748844569">
      <w:bodyDiv w:val="1"/>
      <w:marLeft w:val="0"/>
      <w:marRight w:val="0"/>
      <w:marTop w:val="0"/>
      <w:marBottom w:val="0"/>
      <w:divBdr>
        <w:top w:val="none" w:sz="0" w:space="0" w:color="auto"/>
        <w:left w:val="none" w:sz="0" w:space="0" w:color="auto"/>
        <w:bottom w:val="none" w:sz="0" w:space="0" w:color="auto"/>
        <w:right w:val="none" w:sz="0" w:space="0" w:color="auto"/>
      </w:divBdr>
    </w:div>
    <w:div w:id="757991382">
      <w:bodyDiv w:val="1"/>
      <w:marLeft w:val="0"/>
      <w:marRight w:val="0"/>
      <w:marTop w:val="0"/>
      <w:marBottom w:val="0"/>
      <w:divBdr>
        <w:top w:val="none" w:sz="0" w:space="0" w:color="auto"/>
        <w:left w:val="none" w:sz="0" w:space="0" w:color="auto"/>
        <w:bottom w:val="none" w:sz="0" w:space="0" w:color="auto"/>
        <w:right w:val="none" w:sz="0" w:space="0" w:color="auto"/>
      </w:divBdr>
    </w:div>
    <w:div w:id="813060237">
      <w:bodyDiv w:val="1"/>
      <w:marLeft w:val="0"/>
      <w:marRight w:val="0"/>
      <w:marTop w:val="0"/>
      <w:marBottom w:val="0"/>
      <w:divBdr>
        <w:top w:val="none" w:sz="0" w:space="0" w:color="auto"/>
        <w:left w:val="none" w:sz="0" w:space="0" w:color="auto"/>
        <w:bottom w:val="none" w:sz="0" w:space="0" w:color="auto"/>
        <w:right w:val="none" w:sz="0" w:space="0" w:color="auto"/>
      </w:divBdr>
    </w:div>
    <w:div w:id="824859226">
      <w:bodyDiv w:val="1"/>
      <w:marLeft w:val="0"/>
      <w:marRight w:val="0"/>
      <w:marTop w:val="0"/>
      <w:marBottom w:val="0"/>
      <w:divBdr>
        <w:top w:val="none" w:sz="0" w:space="0" w:color="auto"/>
        <w:left w:val="none" w:sz="0" w:space="0" w:color="auto"/>
        <w:bottom w:val="none" w:sz="0" w:space="0" w:color="auto"/>
        <w:right w:val="none" w:sz="0" w:space="0" w:color="auto"/>
      </w:divBdr>
    </w:div>
    <w:div w:id="836771376">
      <w:bodyDiv w:val="1"/>
      <w:marLeft w:val="0"/>
      <w:marRight w:val="0"/>
      <w:marTop w:val="0"/>
      <w:marBottom w:val="0"/>
      <w:divBdr>
        <w:top w:val="none" w:sz="0" w:space="0" w:color="auto"/>
        <w:left w:val="none" w:sz="0" w:space="0" w:color="auto"/>
        <w:bottom w:val="none" w:sz="0" w:space="0" w:color="auto"/>
        <w:right w:val="none" w:sz="0" w:space="0" w:color="auto"/>
      </w:divBdr>
    </w:div>
    <w:div w:id="842862879">
      <w:bodyDiv w:val="1"/>
      <w:marLeft w:val="0"/>
      <w:marRight w:val="0"/>
      <w:marTop w:val="0"/>
      <w:marBottom w:val="0"/>
      <w:divBdr>
        <w:top w:val="none" w:sz="0" w:space="0" w:color="auto"/>
        <w:left w:val="none" w:sz="0" w:space="0" w:color="auto"/>
        <w:bottom w:val="none" w:sz="0" w:space="0" w:color="auto"/>
        <w:right w:val="none" w:sz="0" w:space="0" w:color="auto"/>
      </w:divBdr>
    </w:div>
    <w:div w:id="842938912">
      <w:bodyDiv w:val="1"/>
      <w:marLeft w:val="0"/>
      <w:marRight w:val="0"/>
      <w:marTop w:val="0"/>
      <w:marBottom w:val="0"/>
      <w:divBdr>
        <w:top w:val="none" w:sz="0" w:space="0" w:color="auto"/>
        <w:left w:val="none" w:sz="0" w:space="0" w:color="auto"/>
        <w:bottom w:val="none" w:sz="0" w:space="0" w:color="auto"/>
        <w:right w:val="none" w:sz="0" w:space="0" w:color="auto"/>
      </w:divBdr>
    </w:div>
    <w:div w:id="863205492">
      <w:bodyDiv w:val="1"/>
      <w:marLeft w:val="0"/>
      <w:marRight w:val="0"/>
      <w:marTop w:val="0"/>
      <w:marBottom w:val="0"/>
      <w:divBdr>
        <w:top w:val="none" w:sz="0" w:space="0" w:color="auto"/>
        <w:left w:val="none" w:sz="0" w:space="0" w:color="auto"/>
        <w:bottom w:val="none" w:sz="0" w:space="0" w:color="auto"/>
        <w:right w:val="none" w:sz="0" w:space="0" w:color="auto"/>
      </w:divBdr>
    </w:div>
    <w:div w:id="897664456">
      <w:bodyDiv w:val="1"/>
      <w:marLeft w:val="0"/>
      <w:marRight w:val="0"/>
      <w:marTop w:val="0"/>
      <w:marBottom w:val="0"/>
      <w:divBdr>
        <w:top w:val="none" w:sz="0" w:space="0" w:color="auto"/>
        <w:left w:val="none" w:sz="0" w:space="0" w:color="auto"/>
        <w:bottom w:val="none" w:sz="0" w:space="0" w:color="auto"/>
        <w:right w:val="none" w:sz="0" w:space="0" w:color="auto"/>
      </w:divBdr>
    </w:div>
    <w:div w:id="963852622">
      <w:bodyDiv w:val="1"/>
      <w:marLeft w:val="0"/>
      <w:marRight w:val="0"/>
      <w:marTop w:val="0"/>
      <w:marBottom w:val="0"/>
      <w:divBdr>
        <w:top w:val="none" w:sz="0" w:space="0" w:color="auto"/>
        <w:left w:val="none" w:sz="0" w:space="0" w:color="auto"/>
        <w:bottom w:val="none" w:sz="0" w:space="0" w:color="auto"/>
        <w:right w:val="none" w:sz="0" w:space="0" w:color="auto"/>
      </w:divBdr>
    </w:div>
    <w:div w:id="971324198">
      <w:bodyDiv w:val="1"/>
      <w:marLeft w:val="0"/>
      <w:marRight w:val="0"/>
      <w:marTop w:val="0"/>
      <w:marBottom w:val="0"/>
      <w:divBdr>
        <w:top w:val="none" w:sz="0" w:space="0" w:color="auto"/>
        <w:left w:val="none" w:sz="0" w:space="0" w:color="auto"/>
        <w:bottom w:val="none" w:sz="0" w:space="0" w:color="auto"/>
        <w:right w:val="none" w:sz="0" w:space="0" w:color="auto"/>
      </w:divBdr>
    </w:div>
    <w:div w:id="974412300">
      <w:bodyDiv w:val="1"/>
      <w:marLeft w:val="0"/>
      <w:marRight w:val="0"/>
      <w:marTop w:val="0"/>
      <w:marBottom w:val="0"/>
      <w:divBdr>
        <w:top w:val="none" w:sz="0" w:space="0" w:color="auto"/>
        <w:left w:val="none" w:sz="0" w:space="0" w:color="auto"/>
        <w:bottom w:val="none" w:sz="0" w:space="0" w:color="auto"/>
        <w:right w:val="none" w:sz="0" w:space="0" w:color="auto"/>
      </w:divBdr>
    </w:div>
    <w:div w:id="986472009">
      <w:bodyDiv w:val="1"/>
      <w:marLeft w:val="0"/>
      <w:marRight w:val="0"/>
      <w:marTop w:val="0"/>
      <w:marBottom w:val="0"/>
      <w:divBdr>
        <w:top w:val="none" w:sz="0" w:space="0" w:color="auto"/>
        <w:left w:val="none" w:sz="0" w:space="0" w:color="auto"/>
        <w:bottom w:val="none" w:sz="0" w:space="0" w:color="auto"/>
        <w:right w:val="none" w:sz="0" w:space="0" w:color="auto"/>
      </w:divBdr>
    </w:div>
    <w:div w:id="998534949">
      <w:bodyDiv w:val="1"/>
      <w:marLeft w:val="0"/>
      <w:marRight w:val="0"/>
      <w:marTop w:val="0"/>
      <w:marBottom w:val="0"/>
      <w:divBdr>
        <w:top w:val="none" w:sz="0" w:space="0" w:color="auto"/>
        <w:left w:val="none" w:sz="0" w:space="0" w:color="auto"/>
        <w:bottom w:val="none" w:sz="0" w:space="0" w:color="auto"/>
        <w:right w:val="none" w:sz="0" w:space="0" w:color="auto"/>
      </w:divBdr>
    </w:div>
    <w:div w:id="1010176538">
      <w:bodyDiv w:val="1"/>
      <w:marLeft w:val="0"/>
      <w:marRight w:val="0"/>
      <w:marTop w:val="0"/>
      <w:marBottom w:val="0"/>
      <w:divBdr>
        <w:top w:val="none" w:sz="0" w:space="0" w:color="auto"/>
        <w:left w:val="none" w:sz="0" w:space="0" w:color="auto"/>
        <w:bottom w:val="none" w:sz="0" w:space="0" w:color="auto"/>
        <w:right w:val="none" w:sz="0" w:space="0" w:color="auto"/>
      </w:divBdr>
    </w:div>
    <w:div w:id="1126236860">
      <w:bodyDiv w:val="1"/>
      <w:marLeft w:val="0"/>
      <w:marRight w:val="0"/>
      <w:marTop w:val="0"/>
      <w:marBottom w:val="0"/>
      <w:divBdr>
        <w:top w:val="none" w:sz="0" w:space="0" w:color="auto"/>
        <w:left w:val="none" w:sz="0" w:space="0" w:color="auto"/>
        <w:bottom w:val="none" w:sz="0" w:space="0" w:color="auto"/>
        <w:right w:val="none" w:sz="0" w:space="0" w:color="auto"/>
      </w:divBdr>
    </w:div>
    <w:div w:id="1166553679">
      <w:bodyDiv w:val="1"/>
      <w:marLeft w:val="0"/>
      <w:marRight w:val="0"/>
      <w:marTop w:val="0"/>
      <w:marBottom w:val="0"/>
      <w:divBdr>
        <w:top w:val="none" w:sz="0" w:space="0" w:color="auto"/>
        <w:left w:val="none" w:sz="0" w:space="0" w:color="auto"/>
        <w:bottom w:val="none" w:sz="0" w:space="0" w:color="auto"/>
        <w:right w:val="none" w:sz="0" w:space="0" w:color="auto"/>
      </w:divBdr>
    </w:div>
    <w:div w:id="1232814740">
      <w:bodyDiv w:val="1"/>
      <w:marLeft w:val="0"/>
      <w:marRight w:val="0"/>
      <w:marTop w:val="0"/>
      <w:marBottom w:val="0"/>
      <w:divBdr>
        <w:top w:val="none" w:sz="0" w:space="0" w:color="auto"/>
        <w:left w:val="none" w:sz="0" w:space="0" w:color="auto"/>
        <w:bottom w:val="none" w:sz="0" w:space="0" w:color="auto"/>
        <w:right w:val="none" w:sz="0" w:space="0" w:color="auto"/>
      </w:divBdr>
    </w:div>
    <w:div w:id="1277374936">
      <w:bodyDiv w:val="1"/>
      <w:marLeft w:val="0"/>
      <w:marRight w:val="0"/>
      <w:marTop w:val="0"/>
      <w:marBottom w:val="0"/>
      <w:divBdr>
        <w:top w:val="none" w:sz="0" w:space="0" w:color="auto"/>
        <w:left w:val="none" w:sz="0" w:space="0" w:color="auto"/>
        <w:bottom w:val="none" w:sz="0" w:space="0" w:color="auto"/>
        <w:right w:val="none" w:sz="0" w:space="0" w:color="auto"/>
      </w:divBdr>
    </w:div>
    <w:div w:id="1291131726">
      <w:bodyDiv w:val="1"/>
      <w:marLeft w:val="0"/>
      <w:marRight w:val="0"/>
      <w:marTop w:val="0"/>
      <w:marBottom w:val="0"/>
      <w:divBdr>
        <w:top w:val="none" w:sz="0" w:space="0" w:color="auto"/>
        <w:left w:val="none" w:sz="0" w:space="0" w:color="auto"/>
        <w:bottom w:val="none" w:sz="0" w:space="0" w:color="auto"/>
        <w:right w:val="none" w:sz="0" w:space="0" w:color="auto"/>
      </w:divBdr>
    </w:div>
    <w:div w:id="1291746080">
      <w:bodyDiv w:val="1"/>
      <w:marLeft w:val="0"/>
      <w:marRight w:val="0"/>
      <w:marTop w:val="0"/>
      <w:marBottom w:val="0"/>
      <w:divBdr>
        <w:top w:val="none" w:sz="0" w:space="0" w:color="auto"/>
        <w:left w:val="none" w:sz="0" w:space="0" w:color="auto"/>
        <w:bottom w:val="none" w:sz="0" w:space="0" w:color="auto"/>
        <w:right w:val="none" w:sz="0" w:space="0" w:color="auto"/>
      </w:divBdr>
    </w:div>
    <w:div w:id="1323585164">
      <w:bodyDiv w:val="1"/>
      <w:marLeft w:val="0"/>
      <w:marRight w:val="0"/>
      <w:marTop w:val="0"/>
      <w:marBottom w:val="0"/>
      <w:divBdr>
        <w:top w:val="none" w:sz="0" w:space="0" w:color="auto"/>
        <w:left w:val="none" w:sz="0" w:space="0" w:color="auto"/>
        <w:bottom w:val="none" w:sz="0" w:space="0" w:color="auto"/>
        <w:right w:val="none" w:sz="0" w:space="0" w:color="auto"/>
      </w:divBdr>
    </w:div>
    <w:div w:id="1329673989">
      <w:bodyDiv w:val="1"/>
      <w:marLeft w:val="0"/>
      <w:marRight w:val="0"/>
      <w:marTop w:val="0"/>
      <w:marBottom w:val="0"/>
      <w:divBdr>
        <w:top w:val="none" w:sz="0" w:space="0" w:color="auto"/>
        <w:left w:val="none" w:sz="0" w:space="0" w:color="auto"/>
        <w:bottom w:val="none" w:sz="0" w:space="0" w:color="auto"/>
        <w:right w:val="none" w:sz="0" w:space="0" w:color="auto"/>
      </w:divBdr>
    </w:div>
    <w:div w:id="1375545178">
      <w:bodyDiv w:val="1"/>
      <w:marLeft w:val="0"/>
      <w:marRight w:val="0"/>
      <w:marTop w:val="0"/>
      <w:marBottom w:val="0"/>
      <w:divBdr>
        <w:top w:val="none" w:sz="0" w:space="0" w:color="auto"/>
        <w:left w:val="none" w:sz="0" w:space="0" w:color="auto"/>
        <w:bottom w:val="none" w:sz="0" w:space="0" w:color="auto"/>
        <w:right w:val="none" w:sz="0" w:space="0" w:color="auto"/>
      </w:divBdr>
    </w:div>
    <w:div w:id="1381125130">
      <w:bodyDiv w:val="1"/>
      <w:marLeft w:val="0"/>
      <w:marRight w:val="0"/>
      <w:marTop w:val="0"/>
      <w:marBottom w:val="0"/>
      <w:divBdr>
        <w:top w:val="none" w:sz="0" w:space="0" w:color="auto"/>
        <w:left w:val="none" w:sz="0" w:space="0" w:color="auto"/>
        <w:bottom w:val="none" w:sz="0" w:space="0" w:color="auto"/>
        <w:right w:val="none" w:sz="0" w:space="0" w:color="auto"/>
      </w:divBdr>
    </w:div>
    <w:div w:id="1403526979">
      <w:bodyDiv w:val="1"/>
      <w:marLeft w:val="0"/>
      <w:marRight w:val="0"/>
      <w:marTop w:val="0"/>
      <w:marBottom w:val="0"/>
      <w:divBdr>
        <w:top w:val="none" w:sz="0" w:space="0" w:color="auto"/>
        <w:left w:val="none" w:sz="0" w:space="0" w:color="auto"/>
        <w:bottom w:val="none" w:sz="0" w:space="0" w:color="auto"/>
        <w:right w:val="none" w:sz="0" w:space="0" w:color="auto"/>
      </w:divBdr>
    </w:div>
    <w:div w:id="1422068788">
      <w:bodyDiv w:val="1"/>
      <w:marLeft w:val="0"/>
      <w:marRight w:val="0"/>
      <w:marTop w:val="0"/>
      <w:marBottom w:val="0"/>
      <w:divBdr>
        <w:top w:val="none" w:sz="0" w:space="0" w:color="auto"/>
        <w:left w:val="none" w:sz="0" w:space="0" w:color="auto"/>
        <w:bottom w:val="none" w:sz="0" w:space="0" w:color="auto"/>
        <w:right w:val="none" w:sz="0" w:space="0" w:color="auto"/>
      </w:divBdr>
    </w:div>
    <w:div w:id="1437285617">
      <w:bodyDiv w:val="1"/>
      <w:marLeft w:val="0"/>
      <w:marRight w:val="0"/>
      <w:marTop w:val="0"/>
      <w:marBottom w:val="0"/>
      <w:divBdr>
        <w:top w:val="none" w:sz="0" w:space="0" w:color="auto"/>
        <w:left w:val="none" w:sz="0" w:space="0" w:color="auto"/>
        <w:bottom w:val="none" w:sz="0" w:space="0" w:color="auto"/>
        <w:right w:val="none" w:sz="0" w:space="0" w:color="auto"/>
      </w:divBdr>
    </w:div>
    <w:div w:id="1474057385">
      <w:bodyDiv w:val="1"/>
      <w:marLeft w:val="0"/>
      <w:marRight w:val="0"/>
      <w:marTop w:val="0"/>
      <w:marBottom w:val="0"/>
      <w:divBdr>
        <w:top w:val="none" w:sz="0" w:space="0" w:color="auto"/>
        <w:left w:val="none" w:sz="0" w:space="0" w:color="auto"/>
        <w:bottom w:val="none" w:sz="0" w:space="0" w:color="auto"/>
        <w:right w:val="none" w:sz="0" w:space="0" w:color="auto"/>
      </w:divBdr>
    </w:div>
    <w:div w:id="1539589146">
      <w:bodyDiv w:val="1"/>
      <w:marLeft w:val="0"/>
      <w:marRight w:val="0"/>
      <w:marTop w:val="0"/>
      <w:marBottom w:val="0"/>
      <w:divBdr>
        <w:top w:val="none" w:sz="0" w:space="0" w:color="auto"/>
        <w:left w:val="none" w:sz="0" w:space="0" w:color="auto"/>
        <w:bottom w:val="none" w:sz="0" w:space="0" w:color="auto"/>
        <w:right w:val="none" w:sz="0" w:space="0" w:color="auto"/>
      </w:divBdr>
    </w:div>
    <w:div w:id="1650131928">
      <w:bodyDiv w:val="1"/>
      <w:marLeft w:val="0"/>
      <w:marRight w:val="0"/>
      <w:marTop w:val="0"/>
      <w:marBottom w:val="0"/>
      <w:divBdr>
        <w:top w:val="none" w:sz="0" w:space="0" w:color="auto"/>
        <w:left w:val="none" w:sz="0" w:space="0" w:color="auto"/>
        <w:bottom w:val="none" w:sz="0" w:space="0" w:color="auto"/>
        <w:right w:val="none" w:sz="0" w:space="0" w:color="auto"/>
      </w:divBdr>
    </w:div>
    <w:div w:id="1738934487">
      <w:bodyDiv w:val="1"/>
      <w:marLeft w:val="0"/>
      <w:marRight w:val="0"/>
      <w:marTop w:val="0"/>
      <w:marBottom w:val="0"/>
      <w:divBdr>
        <w:top w:val="none" w:sz="0" w:space="0" w:color="auto"/>
        <w:left w:val="none" w:sz="0" w:space="0" w:color="auto"/>
        <w:bottom w:val="none" w:sz="0" w:space="0" w:color="auto"/>
        <w:right w:val="none" w:sz="0" w:space="0" w:color="auto"/>
      </w:divBdr>
    </w:div>
    <w:div w:id="1739471596">
      <w:bodyDiv w:val="1"/>
      <w:marLeft w:val="0"/>
      <w:marRight w:val="0"/>
      <w:marTop w:val="0"/>
      <w:marBottom w:val="0"/>
      <w:divBdr>
        <w:top w:val="none" w:sz="0" w:space="0" w:color="auto"/>
        <w:left w:val="none" w:sz="0" w:space="0" w:color="auto"/>
        <w:bottom w:val="none" w:sz="0" w:space="0" w:color="auto"/>
        <w:right w:val="none" w:sz="0" w:space="0" w:color="auto"/>
      </w:divBdr>
    </w:div>
    <w:div w:id="1798715644">
      <w:bodyDiv w:val="1"/>
      <w:marLeft w:val="0"/>
      <w:marRight w:val="0"/>
      <w:marTop w:val="0"/>
      <w:marBottom w:val="0"/>
      <w:divBdr>
        <w:top w:val="none" w:sz="0" w:space="0" w:color="auto"/>
        <w:left w:val="none" w:sz="0" w:space="0" w:color="auto"/>
        <w:bottom w:val="none" w:sz="0" w:space="0" w:color="auto"/>
        <w:right w:val="none" w:sz="0" w:space="0" w:color="auto"/>
      </w:divBdr>
    </w:div>
    <w:div w:id="1860243148">
      <w:bodyDiv w:val="1"/>
      <w:marLeft w:val="0"/>
      <w:marRight w:val="0"/>
      <w:marTop w:val="0"/>
      <w:marBottom w:val="0"/>
      <w:divBdr>
        <w:top w:val="none" w:sz="0" w:space="0" w:color="auto"/>
        <w:left w:val="none" w:sz="0" w:space="0" w:color="auto"/>
        <w:bottom w:val="none" w:sz="0" w:space="0" w:color="auto"/>
        <w:right w:val="none" w:sz="0" w:space="0" w:color="auto"/>
      </w:divBdr>
    </w:div>
    <w:div w:id="1918633681">
      <w:bodyDiv w:val="1"/>
      <w:marLeft w:val="0"/>
      <w:marRight w:val="0"/>
      <w:marTop w:val="0"/>
      <w:marBottom w:val="0"/>
      <w:divBdr>
        <w:top w:val="none" w:sz="0" w:space="0" w:color="auto"/>
        <w:left w:val="none" w:sz="0" w:space="0" w:color="auto"/>
        <w:bottom w:val="none" w:sz="0" w:space="0" w:color="auto"/>
        <w:right w:val="none" w:sz="0" w:space="0" w:color="auto"/>
      </w:divBdr>
    </w:div>
    <w:div w:id="1962109899">
      <w:bodyDiv w:val="1"/>
      <w:marLeft w:val="0"/>
      <w:marRight w:val="0"/>
      <w:marTop w:val="0"/>
      <w:marBottom w:val="0"/>
      <w:divBdr>
        <w:top w:val="none" w:sz="0" w:space="0" w:color="auto"/>
        <w:left w:val="none" w:sz="0" w:space="0" w:color="auto"/>
        <w:bottom w:val="none" w:sz="0" w:space="0" w:color="auto"/>
        <w:right w:val="none" w:sz="0" w:space="0" w:color="auto"/>
      </w:divBdr>
    </w:div>
    <w:div w:id="1965387335">
      <w:bodyDiv w:val="1"/>
      <w:marLeft w:val="0"/>
      <w:marRight w:val="0"/>
      <w:marTop w:val="0"/>
      <w:marBottom w:val="0"/>
      <w:divBdr>
        <w:top w:val="none" w:sz="0" w:space="0" w:color="auto"/>
        <w:left w:val="none" w:sz="0" w:space="0" w:color="auto"/>
        <w:bottom w:val="none" w:sz="0" w:space="0" w:color="auto"/>
        <w:right w:val="none" w:sz="0" w:space="0" w:color="auto"/>
      </w:divBdr>
    </w:div>
    <w:div w:id="1974797309">
      <w:bodyDiv w:val="1"/>
      <w:marLeft w:val="0"/>
      <w:marRight w:val="0"/>
      <w:marTop w:val="0"/>
      <w:marBottom w:val="0"/>
      <w:divBdr>
        <w:top w:val="none" w:sz="0" w:space="0" w:color="auto"/>
        <w:left w:val="none" w:sz="0" w:space="0" w:color="auto"/>
        <w:bottom w:val="none" w:sz="0" w:space="0" w:color="auto"/>
        <w:right w:val="none" w:sz="0" w:space="0" w:color="auto"/>
      </w:divBdr>
    </w:div>
    <w:div w:id="2004043677">
      <w:bodyDiv w:val="1"/>
      <w:marLeft w:val="0"/>
      <w:marRight w:val="0"/>
      <w:marTop w:val="0"/>
      <w:marBottom w:val="0"/>
      <w:divBdr>
        <w:top w:val="none" w:sz="0" w:space="0" w:color="auto"/>
        <w:left w:val="none" w:sz="0" w:space="0" w:color="auto"/>
        <w:bottom w:val="none" w:sz="0" w:space="0" w:color="auto"/>
        <w:right w:val="none" w:sz="0" w:space="0" w:color="auto"/>
      </w:divBdr>
    </w:div>
    <w:div w:id="2110468926">
      <w:bodyDiv w:val="1"/>
      <w:marLeft w:val="0"/>
      <w:marRight w:val="0"/>
      <w:marTop w:val="0"/>
      <w:marBottom w:val="0"/>
      <w:divBdr>
        <w:top w:val="none" w:sz="0" w:space="0" w:color="auto"/>
        <w:left w:val="none" w:sz="0" w:space="0" w:color="auto"/>
        <w:bottom w:val="none" w:sz="0" w:space="0" w:color="auto"/>
        <w:right w:val="none" w:sz="0" w:space="0" w:color="auto"/>
      </w:divBdr>
    </w:div>
    <w:div w:id="213274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ec.gov/Archives/edgar/data/312070/000095010319010191/dp110497_424b2-underlying.htm"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sec.gov/Archives/edgar/data/312070/000095010319010190/dp110493_424b2-prosupp.ht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ec.gov/Archives/edgar/data/312070/000119312519210880/d756086d424b3.htm" TargetMode="Externa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d4161281-19ac-4487-8e19-1947623352c0" origin="userSelected">
  <element uid="id_classification_nonbusiness" value=""/>
</sisl>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D33B1F-513C-49EE-A35D-A758D6CFBC25}">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7DA533A-5C5E-4B2C-8428-5F29E19A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9980</Words>
  <Characters>56890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66737</CharactersWithSpaces>
  <SharedDoc>false</SharedDoc>
  <HyperlinkBase/>
  <HLinks>
    <vt:vector size="18" baseType="variant">
      <vt:variant>
        <vt:i4>6946937</vt:i4>
      </vt:variant>
      <vt:variant>
        <vt:i4>12</vt:i4>
      </vt:variant>
      <vt:variant>
        <vt:i4>0</vt:i4>
      </vt:variant>
      <vt:variant>
        <vt:i4>5</vt:i4>
      </vt:variant>
      <vt:variant>
        <vt:lpwstr>http://www.sec.gov/Archives/edgar/data/312070/000119312511154632/d424b3.htm</vt:lpwstr>
      </vt:variant>
      <vt:variant>
        <vt:lpwstr/>
      </vt:variant>
      <vt:variant>
        <vt:i4>7274618</vt:i4>
      </vt:variant>
      <vt:variant>
        <vt:i4>9</vt:i4>
      </vt:variant>
      <vt:variant>
        <vt:i4>0</vt:i4>
      </vt:variant>
      <vt:variant>
        <vt:i4>5</vt:i4>
      </vt:variant>
      <vt:variant>
        <vt:lpwstr>http://www.sec.gov/Archives/edgar/data/312070/000119312511152766/d424b3.htm</vt:lpwstr>
      </vt:variant>
      <vt:variant>
        <vt:lpwstr/>
      </vt:variant>
      <vt:variant>
        <vt:i4>7733310</vt:i4>
      </vt:variant>
      <vt:variant>
        <vt:i4>6</vt:i4>
      </vt:variant>
      <vt:variant>
        <vt:i4>0</vt:i4>
      </vt:variant>
      <vt:variant>
        <vt:i4>5</vt:i4>
      </vt:variant>
      <vt:variant>
        <vt:lpwstr>http://www.sec.gov/Archives/edgar/data/312070/000119312510201448/df3asr.htm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2020-01-07T16:31:00Z</dcterms:created>
  <dcterms:modified xsi:type="dcterms:W3CDTF">2020-01-08T15:25:00Z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0FAAcuWl1SbNzhHVB+tm1MSnB/k2ssuAHX46EMASaISqs3RHyJkhY7fzSmHhVlaFaTGBnUfC+ou8mqzt
M0NRyZ41vo0iqCW5qHBx7VIbudpc7aoFgLSyMeuCTPnrMekS+v66BvtGVsPR1BztM0NRyZ41vo0i
qCW5qHBx7VIbudpc7aoFgLSyMeuCTO7BC7iFGrB26U97/jO0ZWfuwZcfDuDVXMt1K7iCn2suzF2q
Bj3iEELjZ0D+eIqFQ</vt:lpwstr>
  </property>
  <property fmtid="{D5CDD505-2E9C-101B-9397-08002B2CF9AE}" pid="3" name="MAIL_MSG_ID2">
    <vt:lpwstr>52xQbhvFWsGsnPnn6sNiHalZ7P13/ona7H4I6W2K3B7yMm9GGnJQEVm+CQp
1gmiifsKqZcsF+kmuNsesvjYs8MwRCBVzx0m4yR1EN/5VkmZXAJ2zjhJRMI=</vt:lpwstr>
  </property>
  <property fmtid="{D5CDD505-2E9C-101B-9397-08002B2CF9AE}" pid="4" name="RESPONSE_SENDER_NAME">
    <vt:lpwstr>ABAAv4tRYjpfjUsdAPP1SV6JVbrXTc8cW3MKvtMayxUw7/7ocWxz1a/JFKT4ejK640GJ</vt:lpwstr>
  </property>
  <property fmtid="{D5CDD505-2E9C-101B-9397-08002B2CF9AE}" pid="5" name="EMAIL_OWNER_ADDRESS">
    <vt:lpwstr>ABAAgoCixPcRe8llC9zWs2vedC1Wb+yvBxa7QasoY65rVQiiMEGhphx1fbXHbcTbYJ0i</vt:lpwstr>
  </property>
  <property fmtid="{D5CDD505-2E9C-101B-9397-08002B2CF9AE}" pid="6" name="WS_TRACKING_ID">
    <vt:lpwstr>f510bbad-c3e5-4a1d-b0f4-b713c5d8e34b</vt:lpwstr>
  </property>
  <property fmtid="{D5CDD505-2E9C-101B-9397-08002B2CF9AE}" pid="7" name="docIndexRef">
    <vt:lpwstr>dfdb2d6e-6dbd-4a63-9ba4-8343110257c3</vt:lpwstr>
  </property>
  <property fmtid="{D5CDD505-2E9C-101B-9397-08002B2CF9AE}" pid="8" name="bjSaver">
    <vt:lpwstr>P6eSL6d/33vWGpn01b5G5Uyt+ohkBcpu</vt:lpwstr>
  </property>
  <property fmtid="{D5CDD505-2E9C-101B-9397-08002B2CF9AE}" pid="9" name="bjDocumentLabelXML">
    <vt:lpwstr>&lt;?xml version="1.0" encoding="us-ascii"?&gt;&lt;sisl xmlns:xsi="http://www.w3.org/2001/XMLSchema-instance" xmlns:xsd="http://www.w3.org/2001/XMLSchema" sislVersion="0" policy="d4161281-19ac-4487-8e19-1947623352c0" origin="userSelected" xmlns="http://www.boldonj</vt:lpwstr>
  </property>
  <property fmtid="{D5CDD505-2E9C-101B-9397-08002B2CF9AE}" pid="10" name="bjDocumentLabelXML-0">
    <vt:lpwstr>ames.com/2008/01/sie/internal/label"&gt;&lt;element uid="id_classification_nonbusiness" value="" /&gt;&lt;/sisl&gt;</vt:lpwstr>
  </property>
  <property fmtid="{D5CDD505-2E9C-101B-9397-08002B2CF9AE}" pid="11" name="bjDocumentSecurityLabel">
    <vt:lpwstr>Unrestricted</vt:lpwstr>
  </property>
  <property fmtid="{D5CDD505-2E9C-101B-9397-08002B2CF9AE}" pid="12" name="DocRef">
    <vt:lpwstr>31945550v2</vt:lpwstr>
  </property>
  <property fmtid="{D5CDD505-2E9C-101B-9397-08002B2CF9AE}" pid="13" name="PreventDocRefInsertion">
    <vt:lpwstr>N</vt:lpwstr>
  </property>
  <property fmtid="{D5CDD505-2E9C-101B-9397-08002B2CF9AE}" pid="14" name="MSIP_Label_c754cbb2-29ed-4ffe-af90-a08465e0dd2c_Enabled">
    <vt:lpwstr>True</vt:lpwstr>
  </property>
  <property fmtid="{D5CDD505-2E9C-101B-9397-08002B2CF9AE}" pid="15" name="MSIP_Label_c754cbb2-29ed-4ffe-af90-a08465e0dd2c_SiteId">
    <vt:lpwstr>c4b62f1d-01e0-4107-a0cc-5ac886858b23</vt:lpwstr>
  </property>
  <property fmtid="{D5CDD505-2E9C-101B-9397-08002B2CF9AE}" pid="16" name="MSIP_Label_c754cbb2-29ed-4ffe-af90-a08465e0dd2c_Owner">
    <vt:lpwstr>luebsmag@intranet.barcapint.com</vt:lpwstr>
  </property>
  <property fmtid="{D5CDD505-2E9C-101B-9397-08002B2CF9AE}" pid="17" name="MSIP_Label_c754cbb2-29ed-4ffe-af90-a08465e0dd2c_SetDate">
    <vt:lpwstr>2019-12-27T21:00:40.9968823Z</vt:lpwstr>
  </property>
  <property fmtid="{D5CDD505-2E9C-101B-9397-08002B2CF9AE}" pid="18" name="MSIP_Label_c754cbb2-29ed-4ffe-af90-a08465e0dd2c_Name">
    <vt:lpwstr>Unrestricted</vt:lpwstr>
  </property>
  <property fmtid="{D5CDD505-2E9C-101B-9397-08002B2CF9AE}" pid="19" name="MSIP_Label_c754cbb2-29ed-4ffe-af90-a08465e0dd2c_Application">
    <vt:lpwstr>Microsoft Azure Information Protection</vt:lpwstr>
  </property>
  <property fmtid="{D5CDD505-2E9C-101B-9397-08002B2CF9AE}" pid="20" name="MSIP_Label_c754cbb2-29ed-4ffe-af90-a08465e0dd2c_Extended_MSFT_Method">
    <vt:lpwstr>Automatic</vt:lpwstr>
  </property>
  <property fmtid="{D5CDD505-2E9C-101B-9397-08002B2CF9AE}" pid="21" name="barclaysdc">
    <vt:lpwstr>Unrestricted</vt:lpwstr>
  </property>
  <property fmtid="{D5CDD505-2E9C-101B-9397-08002B2CF9AE}" pid="22" name="_AdHocReviewCycleID">
    <vt:i4>647646985</vt:i4>
  </property>
  <property fmtid="{D5CDD505-2E9C-101B-9397-08002B2CF9AE}" pid="23" name="_NewReviewCycle">
    <vt:lpwstr/>
  </property>
</Properties>
</file>