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EA96" w14:textId="3F1691D1" w:rsidR="004E01C9" w:rsidRPr="00BA5136" w:rsidRDefault="007201EE">
      <w:pPr>
        <w:rPr>
          <w:b/>
          <w:bCs/>
          <w:sz w:val="24"/>
          <w:szCs w:val="24"/>
          <w:lang w:val="en-US"/>
        </w:rPr>
      </w:pPr>
      <w:proofErr w:type="spellStart"/>
      <w:r w:rsidRPr="00BA5136">
        <w:rPr>
          <w:b/>
          <w:bCs/>
          <w:sz w:val="24"/>
          <w:szCs w:val="24"/>
          <w:lang w:val="en-US"/>
        </w:rPr>
        <w:t>NeoRacer</w:t>
      </w:r>
      <w:proofErr w:type="spellEnd"/>
      <w:r w:rsidRPr="00BA5136">
        <w:rPr>
          <w:b/>
          <w:bCs/>
          <w:sz w:val="24"/>
          <w:szCs w:val="24"/>
          <w:lang w:val="en-US"/>
        </w:rPr>
        <w:t xml:space="preserve"> V2 print and assembly recommendations</w:t>
      </w:r>
    </w:p>
    <w:p w14:paraId="79C12138" w14:textId="6921AEF2" w:rsidR="007201EE" w:rsidRDefault="007201EE" w:rsidP="00D57F13">
      <w:pPr>
        <w:pStyle w:val="Listenabsatz"/>
        <w:numPr>
          <w:ilvl w:val="0"/>
          <w:numId w:val="1"/>
        </w:numPr>
        <w:jc w:val="both"/>
        <w:rPr>
          <w:lang w:val="en-US"/>
        </w:rPr>
      </w:pPr>
      <w:r>
        <w:rPr>
          <w:lang w:val="en-US"/>
        </w:rPr>
        <w:t>All light grey parts in the .</w:t>
      </w:r>
      <w:proofErr w:type="spellStart"/>
      <w:r>
        <w:rPr>
          <w:lang w:val="en-US"/>
        </w:rPr>
        <w:t>stp</w:t>
      </w:r>
      <w:proofErr w:type="spellEnd"/>
      <w:r>
        <w:rPr>
          <w:lang w:val="en-US"/>
        </w:rPr>
        <w:t xml:space="preserve"> file are meant to be printed from PETG. Dark grey parts are meant to be printed from TPU.</w:t>
      </w:r>
    </w:p>
    <w:p w14:paraId="119BAAD5" w14:textId="4C41619D" w:rsidR="007201EE" w:rsidRDefault="007201EE" w:rsidP="00D57F13">
      <w:pPr>
        <w:pStyle w:val="Listenabsatz"/>
        <w:numPr>
          <w:ilvl w:val="0"/>
          <w:numId w:val="1"/>
        </w:numPr>
        <w:jc w:val="both"/>
        <w:rPr>
          <w:lang w:val="en-US"/>
        </w:rPr>
      </w:pPr>
      <w:r>
        <w:rPr>
          <w:lang w:val="en-US"/>
        </w:rPr>
        <w:t>Unless otherwise noted, all parts are printed with 15 % infill (standard rectangular infill pattern for high-speed printing).</w:t>
      </w:r>
    </w:p>
    <w:p w14:paraId="27303A81" w14:textId="31110B11" w:rsidR="007201EE" w:rsidRDefault="007201EE" w:rsidP="00D57F13">
      <w:pPr>
        <w:pStyle w:val="Listenabsatz"/>
        <w:numPr>
          <w:ilvl w:val="0"/>
          <w:numId w:val="1"/>
        </w:numPr>
        <w:jc w:val="both"/>
        <w:rPr>
          <w:lang w:val="en-US"/>
        </w:rPr>
      </w:pPr>
      <w:r>
        <w:rPr>
          <w:lang w:val="en-US"/>
        </w:rPr>
        <w:t>Parts to be printed with 100 % infill: Wheel hubs, gears, TPU linkers between gears. For improved durability</w:t>
      </w:r>
      <w:r w:rsidR="007809F4">
        <w:rPr>
          <w:lang w:val="en-US"/>
        </w:rPr>
        <w:t>,</w:t>
      </w:r>
      <w:r>
        <w:rPr>
          <w:lang w:val="en-US"/>
        </w:rPr>
        <w:t xml:space="preserve"> the Cardan joints and the TPU linker between the Cardan joint and the rear wheel hubs can be printed with 100 % infill.</w:t>
      </w:r>
    </w:p>
    <w:p w14:paraId="5586CF2A" w14:textId="75E263D0" w:rsidR="007201EE" w:rsidRDefault="007201EE" w:rsidP="00D57F13">
      <w:pPr>
        <w:pStyle w:val="Listenabsatz"/>
        <w:numPr>
          <w:ilvl w:val="0"/>
          <w:numId w:val="1"/>
        </w:numPr>
        <w:jc w:val="both"/>
        <w:rPr>
          <w:lang w:val="en-US"/>
        </w:rPr>
      </w:pPr>
      <w:r>
        <w:rPr>
          <w:lang w:val="en-US"/>
        </w:rPr>
        <w:t>A hard TPU filament (Shore D ~60 or A ~98) is recommended to allow easy printing and to avoid excessive deformation of the torque dampers.</w:t>
      </w:r>
    </w:p>
    <w:p w14:paraId="16BF32EB" w14:textId="11EE1E35" w:rsidR="007809F4" w:rsidRDefault="007809F4" w:rsidP="00D57F13">
      <w:pPr>
        <w:pStyle w:val="Listenabsatz"/>
        <w:numPr>
          <w:ilvl w:val="0"/>
          <w:numId w:val="1"/>
        </w:numPr>
        <w:jc w:val="both"/>
        <w:rPr>
          <w:lang w:val="en-US"/>
        </w:rPr>
      </w:pPr>
      <w:r>
        <w:rPr>
          <w:lang w:val="en-US"/>
        </w:rPr>
        <w:t>The parts are designed to be printed with minimal support if oriented correctly. In general, large parts shall be oriented with their largest plane facing downwards onto the print bed. The TPU linkers between the gears need to be printed sideways to maximize their strength. The TPU linkers between the Cardan joints and the wheel hubs shall be printed upwards so that these parts can act as intended breaking points.</w:t>
      </w:r>
    </w:p>
    <w:p w14:paraId="422F0597" w14:textId="654AE789" w:rsidR="007201EE" w:rsidRDefault="007201EE" w:rsidP="00D57F13">
      <w:pPr>
        <w:pStyle w:val="Listenabsatz"/>
        <w:numPr>
          <w:ilvl w:val="0"/>
          <w:numId w:val="1"/>
        </w:numPr>
        <w:jc w:val="both"/>
        <w:rPr>
          <w:lang w:val="en-US"/>
        </w:rPr>
      </w:pPr>
      <w:r>
        <w:rPr>
          <w:lang w:val="en-US"/>
        </w:rPr>
        <w:t>Gears and ball joints shall be lubricated with grease to avoid friction-induced wear.</w:t>
      </w:r>
    </w:p>
    <w:p w14:paraId="19D67965" w14:textId="034AACDD" w:rsidR="007201EE" w:rsidRDefault="007201EE" w:rsidP="00D57F13">
      <w:pPr>
        <w:pStyle w:val="Listenabsatz"/>
        <w:numPr>
          <w:ilvl w:val="0"/>
          <w:numId w:val="1"/>
        </w:numPr>
        <w:jc w:val="both"/>
        <w:rPr>
          <w:lang w:val="en-US"/>
        </w:rPr>
      </w:pPr>
      <w:r>
        <w:rPr>
          <w:lang w:val="en-US"/>
        </w:rPr>
        <w:t>The mounting rim of the servo that faces the side of the wires needs to be cut prior to installation to avoid interference with the steering assembly.</w:t>
      </w:r>
    </w:p>
    <w:p w14:paraId="25CDF44B" w14:textId="41F529D2" w:rsidR="007201EE" w:rsidRDefault="007201EE" w:rsidP="00D57F13">
      <w:pPr>
        <w:pStyle w:val="Listenabsatz"/>
        <w:numPr>
          <w:ilvl w:val="0"/>
          <w:numId w:val="1"/>
        </w:numPr>
        <w:jc w:val="both"/>
        <w:rPr>
          <w:lang w:val="en-US"/>
        </w:rPr>
      </w:pPr>
      <w:r>
        <w:rPr>
          <w:lang w:val="en-US"/>
        </w:rPr>
        <w:t xml:space="preserve">The spring </w:t>
      </w:r>
      <w:proofErr w:type="gramStart"/>
      <w:r>
        <w:rPr>
          <w:lang w:val="en-US"/>
        </w:rPr>
        <w:t>mounts</w:t>
      </w:r>
      <w:proofErr w:type="gramEnd"/>
      <w:r>
        <w:rPr>
          <w:lang w:val="en-US"/>
        </w:rPr>
        <w:t xml:space="preserve"> allow installing a variety of springs. </w:t>
      </w:r>
      <w:r w:rsidR="00DC184E">
        <w:rPr>
          <w:lang w:val="en-US"/>
        </w:rPr>
        <w:t>An</w:t>
      </w:r>
      <w:r>
        <w:rPr>
          <w:lang w:val="en-US"/>
        </w:rPr>
        <w:t xml:space="preserve"> uncompressed length of around 35</w:t>
      </w:r>
      <w:r w:rsidR="00DC184E">
        <w:rPr>
          <w:lang w:val="en-US"/>
        </w:rPr>
        <w:t xml:space="preserve"> mm (+-5 mm) and an outer diameter of around 14 mm (+-2 mm) are recommended. The spring rate depends on the payload. Higher payloads should be accounted for by stiffer springs. Based on the </w:t>
      </w:r>
      <w:r w:rsidR="00D57F13">
        <w:rPr>
          <w:lang w:val="en-US"/>
        </w:rPr>
        <w:t xml:space="preserve">wheel assembly </w:t>
      </w:r>
      <w:r w:rsidR="00DC184E">
        <w:rPr>
          <w:lang w:val="en-US"/>
        </w:rPr>
        <w:t>geometry, the front springs need to be stiffer than the rear springs. A starting point for selecting suitable spring rates is around 5 N/mm for the front and 3.5 N/mm for the rear. This combination is rather stiff for the chassis without payload, but rather soft for the chassis with around 1.5-2 kg of payload.</w:t>
      </w:r>
      <w:r w:rsidR="00D57F13">
        <w:rPr>
          <w:lang w:val="en-US"/>
        </w:rPr>
        <w:t xml:space="preserve"> The 1 mm washer plates (suspension spacers) can be added and removed to set the car’s resting height.</w:t>
      </w:r>
    </w:p>
    <w:p w14:paraId="5F4C339E" w14:textId="0BEC65B6" w:rsidR="00DC184E" w:rsidRDefault="00DC184E" w:rsidP="00D57F13">
      <w:pPr>
        <w:pStyle w:val="Listenabsatz"/>
        <w:numPr>
          <w:ilvl w:val="0"/>
          <w:numId w:val="1"/>
        </w:numPr>
        <w:jc w:val="both"/>
        <w:rPr>
          <w:lang w:val="en-US"/>
        </w:rPr>
      </w:pPr>
      <w:r>
        <w:rPr>
          <w:lang w:val="en-US"/>
        </w:rPr>
        <w:t xml:space="preserve">The sway bars are manufactured by cutting and bending round spring steel into the right size. For the front, a length of around 142-144 mm is needed. For the rear, a length of around 172 to 174 mm is needed. The sway bars are prepared by bending sections of 20-22 mm from the steel rods’ ends at a 90° angle. The stiffness of the sway bars can be adjusted by selecting thinner or thicker spring steel rods. This adjustment only requires minimal design changes in the chassis and </w:t>
      </w:r>
      <w:r w:rsidR="007809F4">
        <w:rPr>
          <w:lang w:val="en-US"/>
        </w:rPr>
        <w:t xml:space="preserve">a small number of </w:t>
      </w:r>
      <w:r>
        <w:rPr>
          <w:lang w:val="en-US"/>
        </w:rPr>
        <w:t>reprints, as small and dedicated mounting parts are used to hold the sway bars in place.</w:t>
      </w:r>
      <w:r w:rsidR="00D57F13">
        <w:rPr>
          <w:lang w:val="en-US"/>
        </w:rPr>
        <w:t xml:space="preserve"> The sway bars are optional. They do not need to be added to allow the chassis to function, but they may improve the car’s handling when adding payload and increasing its center of gravity.</w:t>
      </w:r>
    </w:p>
    <w:p w14:paraId="10B3FF7A" w14:textId="3C01E82F" w:rsidR="007809F4" w:rsidRDefault="00DC184E" w:rsidP="00D57F13">
      <w:pPr>
        <w:pStyle w:val="Listenabsatz"/>
        <w:numPr>
          <w:ilvl w:val="0"/>
          <w:numId w:val="1"/>
        </w:numPr>
        <w:jc w:val="both"/>
        <w:rPr>
          <w:lang w:val="en-US"/>
        </w:rPr>
      </w:pPr>
      <w:r>
        <w:rPr>
          <w:lang w:val="en-US"/>
        </w:rPr>
        <w:t xml:space="preserve">The chassis is designed to fit RC wheels with a diameter between 70 and 90 mm that have a 12 mm hex mount with 4 mm center hole. High payload may result in noticeably tire compression so that </w:t>
      </w:r>
      <w:r w:rsidR="00D57F13">
        <w:rPr>
          <w:lang w:val="en-US"/>
        </w:rPr>
        <w:t>offroad wheels with very soft foam within the tire are not recommended.</w:t>
      </w:r>
      <w:r>
        <w:rPr>
          <w:lang w:val="en-US"/>
        </w:rPr>
        <w:t xml:space="preserve"> </w:t>
      </w:r>
    </w:p>
    <w:p w14:paraId="14108CF9" w14:textId="1F2C579A" w:rsidR="007809F4" w:rsidRDefault="007809F4" w:rsidP="007809F4">
      <w:pPr>
        <w:rPr>
          <w:lang w:val="en-US"/>
        </w:rPr>
      </w:pPr>
      <w:r>
        <w:rPr>
          <w:lang w:val="en-US"/>
        </w:rPr>
        <w:br w:type="page"/>
      </w:r>
    </w:p>
    <w:p w14:paraId="65559F0B" w14:textId="06D7F2DE" w:rsidR="007809F4" w:rsidRPr="00BA5136" w:rsidRDefault="007809F4" w:rsidP="007809F4">
      <w:pPr>
        <w:rPr>
          <w:b/>
          <w:bCs/>
          <w:sz w:val="24"/>
          <w:szCs w:val="24"/>
          <w:lang w:val="en-US"/>
        </w:rPr>
      </w:pPr>
      <w:r w:rsidRPr="00BA5136">
        <w:rPr>
          <w:b/>
          <w:bCs/>
          <w:sz w:val="24"/>
          <w:szCs w:val="24"/>
          <w:lang w:val="en-US"/>
        </w:rPr>
        <w:lastRenderedPageBreak/>
        <w:t>Weaknesses of the printed chassis and how to optimize its lifetime</w:t>
      </w:r>
    </w:p>
    <w:p w14:paraId="29159500" w14:textId="1A68D585" w:rsidR="00DC184E" w:rsidRDefault="007809F4" w:rsidP="00D57F13">
      <w:pPr>
        <w:pStyle w:val="Listenabsatz"/>
        <w:numPr>
          <w:ilvl w:val="0"/>
          <w:numId w:val="1"/>
        </w:numPr>
        <w:jc w:val="both"/>
        <w:rPr>
          <w:lang w:val="en-US"/>
        </w:rPr>
      </w:pPr>
      <w:r>
        <w:rPr>
          <w:lang w:val="en-US"/>
        </w:rPr>
        <w:t>Printed plastic is more brittle than injection molded plastic. Further, they show anisotropy in terms of their mechanical properties. They are particularly prone to failing along the layer lines.</w:t>
      </w:r>
    </w:p>
    <w:p w14:paraId="5E72A9C4" w14:textId="70184621" w:rsidR="007809F4" w:rsidRDefault="007809F4" w:rsidP="00D57F13">
      <w:pPr>
        <w:pStyle w:val="Listenabsatz"/>
        <w:numPr>
          <w:ilvl w:val="0"/>
          <w:numId w:val="1"/>
        </w:numPr>
        <w:jc w:val="both"/>
        <w:rPr>
          <w:lang w:val="en-US"/>
        </w:rPr>
      </w:pPr>
      <w:r>
        <w:rPr>
          <w:lang w:val="en-US"/>
        </w:rPr>
        <w:t xml:space="preserve">The printed </w:t>
      </w:r>
      <w:proofErr w:type="gramStart"/>
      <w:r>
        <w:rPr>
          <w:lang w:val="en-US"/>
        </w:rPr>
        <w:t>drive</w:t>
      </w:r>
      <w:proofErr w:type="gramEnd"/>
      <w:r>
        <w:rPr>
          <w:lang w:val="en-US"/>
        </w:rPr>
        <w:t xml:space="preserve"> train is not as strong and durable as a metal drive train. The surface </w:t>
      </w:r>
      <w:proofErr w:type="gramStart"/>
      <w:r>
        <w:rPr>
          <w:lang w:val="en-US"/>
        </w:rPr>
        <w:t>finish</w:t>
      </w:r>
      <w:proofErr w:type="gramEnd"/>
      <w:r>
        <w:rPr>
          <w:lang w:val="en-US"/>
        </w:rPr>
        <w:t xml:space="preserve"> and the tolerance</w:t>
      </w:r>
      <w:r w:rsidR="00BA5136">
        <w:rPr>
          <w:lang w:val="en-US"/>
        </w:rPr>
        <w:t>s of printed parts</w:t>
      </w:r>
      <w:r>
        <w:rPr>
          <w:lang w:val="en-US"/>
        </w:rPr>
        <w:t xml:space="preserve"> are poorer, and </w:t>
      </w:r>
      <w:r w:rsidR="00BA5136">
        <w:rPr>
          <w:lang w:val="en-US"/>
        </w:rPr>
        <w:t>PETG</w:t>
      </w:r>
      <w:r>
        <w:rPr>
          <w:lang w:val="en-US"/>
        </w:rPr>
        <w:t xml:space="preserve"> start</w:t>
      </w:r>
      <w:r w:rsidR="00BA5136">
        <w:rPr>
          <w:lang w:val="en-US"/>
        </w:rPr>
        <w:t>s</w:t>
      </w:r>
      <w:r>
        <w:rPr>
          <w:lang w:val="en-US"/>
        </w:rPr>
        <w:t xml:space="preserve"> to deform already at around 60-80°C.</w:t>
      </w:r>
    </w:p>
    <w:p w14:paraId="7AC3C720" w14:textId="70893F03" w:rsidR="007809F4" w:rsidRDefault="007809F4" w:rsidP="00D57F13">
      <w:pPr>
        <w:pStyle w:val="Listenabsatz"/>
        <w:numPr>
          <w:ilvl w:val="0"/>
          <w:numId w:val="1"/>
        </w:numPr>
        <w:jc w:val="both"/>
        <w:rPr>
          <w:lang w:val="en-US"/>
        </w:rPr>
      </w:pPr>
      <w:r>
        <w:rPr>
          <w:lang w:val="en-US"/>
        </w:rPr>
        <w:t>Sufficient lubrication of the gears is mandatory to prevent failure due to friction-induced melting of the plastic.</w:t>
      </w:r>
    </w:p>
    <w:p w14:paraId="1EBCA823" w14:textId="6E474643" w:rsidR="007809F4" w:rsidRDefault="007809F4" w:rsidP="00D57F13">
      <w:pPr>
        <w:pStyle w:val="Listenabsatz"/>
        <w:numPr>
          <w:ilvl w:val="0"/>
          <w:numId w:val="1"/>
        </w:numPr>
        <w:jc w:val="both"/>
        <w:rPr>
          <w:lang w:val="en-US"/>
        </w:rPr>
      </w:pPr>
      <w:r>
        <w:rPr>
          <w:lang w:val="en-US"/>
        </w:rPr>
        <w:t>Abrupt changes in wheel speed relative to the motor’s speed can break gears</w:t>
      </w:r>
      <w:r w:rsidR="00872AAC">
        <w:rPr>
          <w:lang w:val="en-US"/>
        </w:rPr>
        <w:t>. Hence, the lifetime of the chassis can be increased by avoiding very fast accelerations and decelerations. Further, jumps and fast motor rpm changes mid-air cause stress onto the drive train and should, therefore, be avoided.</w:t>
      </w:r>
    </w:p>
    <w:p w14:paraId="5E4EB5C9" w14:textId="59C38ADD" w:rsidR="00872AAC" w:rsidRDefault="00872AAC" w:rsidP="00D57F13">
      <w:pPr>
        <w:pStyle w:val="Listenabsatz"/>
        <w:numPr>
          <w:ilvl w:val="0"/>
          <w:numId w:val="1"/>
        </w:numPr>
        <w:jc w:val="both"/>
        <w:rPr>
          <w:lang w:val="en-US"/>
        </w:rPr>
      </w:pPr>
      <w:r>
        <w:rPr>
          <w:lang w:val="en-US"/>
        </w:rPr>
        <w:t xml:space="preserve">The chassis has a comparably low clearance from the ground (around 1 cm with 75 mm wheel diameter). Hence, it may slide on coarse gravel, and it may get caught at steps. The chassis will endure sliding on obstacles, but </w:t>
      </w:r>
      <w:proofErr w:type="gramStart"/>
      <w:r>
        <w:rPr>
          <w:lang w:val="en-US"/>
        </w:rPr>
        <w:t>sudden</w:t>
      </w:r>
      <w:proofErr w:type="gramEnd"/>
      <w:r>
        <w:rPr>
          <w:lang w:val="en-US"/>
        </w:rPr>
        <w:t xml:space="preserve"> stops from being caught at an obstacle can break the brace bar. To this end, the front bumper is located above the car’s floor, and a slide is added </w:t>
      </w:r>
      <w:r w:rsidR="00BA5136">
        <w:rPr>
          <w:lang w:val="en-US"/>
        </w:rPr>
        <w:t>between the front bumper and the chassis’</w:t>
      </w:r>
      <w:r>
        <w:rPr>
          <w:lang w:val="en-US"/>
        </w:rPr>
        <w:t xml:space="preserve"> bottom to prevent </w:t>
      </w:r>
      <w:r w:rsidR="00BA5136">
        <w:rPr>
          <w:lang w:val="en-US"/>
        </w:rPr>
        <w:t xml:space="preserve">the car </w:t>
      </w:r>
      <w:r>
        <w:rPr>
          <w:lang w:val="en-US"/>
        </w:rPr>
        <w:t>from getting stuck.</w:t>
      </w:r>
    </w:p>
    <w:p w14:paraId="5DB85295" w14:textId="19488498" w:rsidR="00872AAC" w:rsidRDefault="00872AAC" w:rsidP="00D57F13">
      <w:pPr>
        <w:pStyle w:val="Listenabsatz"/>
        <w:numPr>
          <w:ilvl w:val="0"/>
          <w:numId w:val="1"/>
        </w:numPr>
        <w:jc w:val="both"/>
        <w:rPr>
          <w:lang w:val="en-US"/>
        </w:rPr>
      </w:pPr>
      <w:r>
        <w:rPr>
          <w:lang w:val="en-US"/>
        </w:rPr>
        <w:t xml:space="preserve">The wheels extend the front and rear bumpers </w:t>
      </w:r>
      <w:r w:rsidR="00BA5136">
        <w:rPr>
          <w:lang w:val="en-US"/>
        </w:rPr>
        <w:t xml:space="preserve">laterally </w:t>
      </w:r>
      <w:r>
        <w:rPr>
          <w:lang w:val="en-US"/>
        </w:rPr>
        <w:t>by some cm to keep the print time for the bumpers lower. On the other hand, that means the bumpers cannot fully protect the car from impacts upon hitting an obstacle</w:t>
      </w:r>
      <w:r w:rsidR="00BA5136">
        <w:rPr>
          <w:lang w:val="en-US"/>
        </w:rPr>
        <w:t xml:space="preserve"> at an angle</w:t>
      </w:r>
      <w:r>
        <w:rPr>
          <w:lang w:val="en-US"/>
        </w:rPr>
        <w:t xml:space="preserve">. Therefore, the steering servo uses a servo saver to avoid stripping its gears upon an impact, and the swing axles are mounted </w:t>
      </w:r>
      <w:r w:rsidR="00BA5136">
        <w:rPr>
          <w:lang w:val="en-US"/>
        </w:rPr>
        <w:t>at the chassis with</w:t>
      </w:r>
      <w:r>
        <w:rPr>
          <w:lang w:val="en-US"/>
        </w:rPr>
        <w:t xml:space="preserve"> TPU components that allow some bending before breaking. Nonetheless, the swing axles are intended </w:t>
      </w:r>
      <w:proofErr w:type="gramStart"/>
      <w:r>
        <w:rPr>
          <w:lang w:val="en-US"/>
        </w:rPr>
        <w:t>breaking</w:t>
      </w:r>
      <w:proofErr w:type="gramEnd"/>
      <w:r>
        <w:rPr>
          <w:lang w:val="en-US"/>
        </w:rPr>
        <w:t xml:space="preserve"> points of the chassis. They can be replaced quickly without having to disassemble the steering assembly or the gearbox.</w:t>
      </w:r>
    </w:p>
    <w:p w14:paraId="63E31730" w14:textId="17121D94" w:rsidR="00872AAC" w:rsidRDefault="00872AAC" w:rsidP="00D57F13">
      <w:pPr>
        <w:pStyle w:val="Listenabsatz"/>
        <w:numPr>
          <w:ilvl w:val="0"/>
          <w:numId w:val="1"/>
        </w:numPr>
        <w:jc w:val="both"/>
        <w:rPr>
          <w:lang w:val="en-US"/>
        </w:rPr>
      </w:pPr>
      <w:r>
        <w:rPr>
          <w:lang w:val="en-US"/>
        </w:rPr>
        <w:t>The car’s motor has more than enough torque to power the car, even allowing it to drift easily. However, since it is a rear-wheel drive chassis, care must be taken regarding its braking distance and its behavior when braking abruptly. The car’s rear wheels can lock and result in involuntary drifting.</w:t>
      </w:r>
    </w:p>
    <w:p w14:paraId="46DA5AE4" w14:textId="3744FEC4" w:rsidR="00872AAC" w:rsidRDefault="00872AAC" w:rsidP="00D57F13">
      <w:pPr>
        <w:pStyle w:val="Listenabsatz"/>
        <w:numPr>
          <w:ilvl w:val="0"/>
          <w:numId w:val="1"/>
        </w:numPr>
        <w:jc w:val="both"/>
        <w:rPr>
          <w:lang w:val="en-US"/>
        </w:rPr>
      </w:pPr>
      <w:r>
        <w:rPr>
          <w:lang w:val="en-US"/>
        </w:rPr>
        <w:t xml:space="preserve">Increasing the payload and </w:t>
      </w:r>
      <w:r w:rsidR="00BA5136">
        <w:rPr>
          <w:lang w:val="en-US"/>
        </w:rPr>
        <w:t>lifting</w:t>
      </w:r>
      <w:r>
        <w:rPr>
          <w:lang w:val="en-US"/>
        </w:rPr>
        <w:t xml:space="preserve"> the center of gravity deteriorates the car’s driving characteristics significantly. Without additional payload, the car typically does not flip, while it easily does so when adding </w:t>
      </w:r>
      <w:r w:rsidR="00BA5136">
        <w:rPr>
          <w:lang w:val="en-US"/>
        </w:rPr>
        <w:t xml:space="preserve">significant </w:t>
      </w:r>
      <w:r>
        <w:rPr>
          <w:lang w:val="en-US"/>
        </w:rPr>
        <w:t>payload</w:t>
      </w:r>
      <w:r w:rsidR="00BA5136">
        <w:rPr>
          <w:lang w:val="en-US"/>
        </w:rPr>
        <w:t xml:space="preserve"> on top of the car. The sway bars reduce this risk, but they only alleviate the problem and cannot avoid it. Cornering with payload on top </w:t>
      </w:r>
      <w:proofErr w:type="gramStart"/>
      <w:r w:rsidR="00BA5136">
        <w:rPr>
          <w:lang w:val="en-US"/>
        </w:rPr>
        <w:t>has to</w:t>
      </w:r>
      <w:proofErr w:type="gramEnd"/>
      <w:r w:rsidR="00BA5136">
        <w:rPr>
          <w:lang w:val="en-US"/>
        </w:rPr>
        <w:t xml:space="preserve"> be done cautiously.</w:t>
      </w:r>
    </w:p>
    <w:p w14:paraId="14E89688" w14:textId="39CA91AF" w:rsidR="00BA5136" w:rsidRDefault="00BA5136" w:rsidP="00D57F13">
      <w:pPr>
        <w:pStyle w:val="Listenabsatz"/>
        <w:numPr>
          <w:ilvl w:val="0"/>
          <w:numId w:val="1"/>
        </w:numPr>
        <w:jc w:val="both"/>
        <w:rPr>
          <w:lang w:val="en-US"/>
        </w:rPr>
      </w:pPr>
      <w:r>
        <w:rPr>
          <w:lang w:val="en-US"/>
        </w:rPr>
        <w:t>The open differential of the car improves traction and stability when cornering but can also result in the opposite when body roll results in a loss of traction of the inner rear wheel within a turn. Hence, cornering harbors the risk of losing control.</w:t>
      </w:r>
    </w:p>
    <w:p w14:paraId="19C6FD22" w14:textId="19FBC45C" w:rsidR="00BA5136" w:rsidRDefault="00BA5136" w:rsidP="00D57F13">
      <w:pPr>
        <w:pStyle w:val="Listenabsatz"/>
        <w:numPr>
          <w:ilvl w:val="0"/>
          <w:numId w:val="1"/>
        </w:numPr>
        <w:jc w:val="both"/>
        <w:rPr>
          <w:lang w:val="en-US"/>
        </w:rPr>
      </w:pPr>
      <w:r>
        <w:rPr>
          <w:lang w:val="en-US"/>
        </w:rPr>
        <w:t>Payload should be added at the car’s center or toward its rear to optimize traction of the rear wheels.</w:t>
      </w:r>
    </w:p>
    <w:p w14:paraId="2492BF60" w14:textId="5EB64CB9" w:rsidR="00A05AA4" w:rsidRPr="007201EE" w:rsidRDefault="00A05AA4" w:rsidP="00D57F13">
      <w:pPr>
        <w:pStyle w:val="Listenabsatz"/>
        <w:numPr>
          <w:ilvl w:val="0"/>
          <w:numId w:val="1"/>
        </w:numPr>
        <w:jc w:val="both"/>
        <w:rPr>
          <w:lang w:val="en-US"/>
        </w:rPr>
      </w:pPr>
      <w:r>
        <w:rPr>
          <w:lang w:val="en-US"/>
        </w:rPr>
        <w:t xml:space="preserve">The chassis is not sealed against dust, dirt, mud, and water. It should only be operated </w:t>
      </w:r>
      <w:proofErr w:type="gramStart"/>
      <w:r>
        <w:rPr>
          <w:lang w:val="en-US"/>
        </w:rPr>
        <w:t>indoor</w:t>
      </w:r>
      <w:proofErr w:type="gramEnd"/>
      <w:r>
        <w:rPr>
          <w:lang w:val="en-US"/>
        </w:rPr>
        <w:t xml:space="preserve"> or on dry tarmac. Particularly, dust can enter the gearbox as it has ventilation holes to avoid overheating the motor. Further, the ball bearings used for the steering assembly can develop play over time due to dust grinding down the printed components.</w:t>
      </w:r>
    </w:p>
    <w:sectPr w:rsidR="00A05AA4" w:rsidRPr="007201E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7B3DF" w14:textId="77777777" w:rsidR="008407DE" w:rsidRDefault="008407DE" w:rsidP="00BA5136">
      <w:pPr>
        <w:spacing w:after="0" w:line="240" w:lineRule="auto"/>
      </w:pPr>
      <w:r>
        <w:separator/>
      </w:r>
    </w:p>
  </w:endnote>
  <w:endnote w:type="continuationSeparator" w:id="0">
    <w:p w14:paraId="5E2FE869" w14:textId="77777777" w:rsidR="008407DE" w:rsidRDefault="008407DE" w:rsidP="00BA5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C0CE" w14:textId="77777777" w:rsidR="00BA5136" w:rsidRDefault="00BA513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2F34" w14:textId="415CECFC" w:rsidR="00BA5136" w:rsidRDefault="00BA5136" w:rsidP="00BA5136">
    <w:pPr>
      <w:pStyle w:val="Fuzeile"/>
      <w:jc w:val="right"/>
    </w:pPr>
    <w:r>
      <w:t xml:space="preserve">Current </w:t>
    </w:r>
    <w:proofErr w:type="spellStart"/>
    <w:r>
      <w:t>as</w:t>
    </w:r>
    <w:proofErr w:type="spellEnd"/>
    <w:r>
      <w:t xml:space="preserve"> of 2025-12-21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2CBA" w14:textId="77777777" w:rsidR="00BA5136" w:rsidRDefault="00BA513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FEA70" w14:textId="77777777" w:rsidR="008407DE" w:rsidRDefault="008407DE" w:rsidP="00BA5136">
      <w:pPr>
        <w:spacing w:after="0" w:line="240" w:lineRule="auto"/>
      </w:pPr>
      <w:r>
        <w:separator/>
      </w:r>
    </w:p>
  </w:footnote>
  <w:footnote w:type="continuationSeparator" w:id="0">
    <w:p w14:paraId="53948F50" w14:textId="77777777" w:rsidR="008407DE" w:rsidRDefault="008407DE" w:rsidP="00BA5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DAF6" w14:textId="77777777" w:rsidR="00BA5136" w:rsidRDefault="00BA513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967D" w14:textId="77777777" w:rsidR="00BA5136" w:rsidRDefault="00BA513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FC9E" w14:textId="77777777" w:rsidR="00BA5136" w:rsidRDefault="00BA513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5ECB"/>
    <w:multiLevelType w:val="hybridMultilevel"/>
    <w:tmpl w:val="5AA24C62"/>
    <w:lvl w:ilvl="0" w:tplc="C988218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3517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wMDQ3NrA0tDAwtzRV0lEKTi0uzszPAykwqgUAqz07ZSwAAAA="/>
  </w:docVars>
  <w:rsids>
    <w:rsidRoot w:val="00DF27D6"/>
    <w:rsid w:val="004E01C9"/>
    <w:rsid w:val="006042C5"/>
    <w:rsid w:val="007201EE"/>
    <w:rsid w:val="007809F4"/>
    <w:rsid w:val="007F6D00"/>
    <w:rsid w:val="008407DE"/>
    <w:rsid w:val="00872AAC"/>
    <w:rsid w:val="008976FD"/>
    <w:rsid w:val="00A05AA4"/>
    <w:rsid w:val="00B87BBB"/>
    <w:rsid w:val="00BA5136"/>
    <w:rsid w:val="00D21F33"/>
    <w:rsid w:val="00D57F13"/>
    <w:rsid w:val="00DC184E"/>
    <w:rsid w:val="00DF27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D6B6"/>
  <w15:chartTrackingRefBased/>
  <w15:docId w15:val="{7A942910-EF15-4B07-B180-7B26CB32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2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F2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F27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F27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27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27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27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27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27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27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F27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F27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F27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27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27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27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27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27D6"/>
    <w:rPr>
      <w:rFonts w:eastAsiaTheme="majorEastAsia" w:cstheme="majorBidi"/>
      <w:color w:val="272727" w:themeColor="text1" w:themeTint="D8"/>
    </w:rPr>
  </w:style>
  <w:style w:type="paragraph" w:styleId="Titel">
    <w:name w:val="Title"/>
    <w:basedOn w:val="Standard"/>
    <w:next w:val="Standard"/>
    <w:link w:val="TitelZchn"/>
    <w:uiPriority w:val="10"/>
    <w:qFormat/>
    <w:rsid w:val="00DF2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F2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F2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F2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F2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27D6"/>
    <w:rPr>
      <w:i/>
      <w:iCs/>
      <w:color w:val="404040" w:themeColor="text1" w:themeTint="BF"/>
    </w:rPr>
  </w:style>
  <w:style w:type="paragraph" w:styleId="Listenabsatz">
    <w:name w:val="List Paragraph"/>
    <w:basedOn w:val="Standard"/>
    <w:uiPriority w:val="34"/>
    <w:qFormat/>
    <w:rsid w:val="00DF27D6"/>
    <w:pPr>
      <w:ind w:left="720"/>
      <w:contextualSpacing/>
    </w:pPr>
  </w:style>
  <w:style w:type="character" w:styleId="IntensiveHervorhebung">
    <w:name w:val="Intense Emphasis"/>
    <w:basedOn w:val="Absatz-Standardschriftart"/>
    <w:uiPriority w:val="21"/>
    <w:qFormat/>
    <w:rsid w:val="00DF27D6"/>
    <w:rPr>
      <w:i/>
      <w:iCs/>
      <w:color w:val="0F4761" w:themeColor="accent1" w:themeShade="BF"/>
    </w:rPr>
  </w:style>
  <w:style w:type="paragraph" w:styleId="IntensivesZitat">
    <w:name w:val="Intense Quote"/>
    <w:basedOn w:val="Standard"/>
    <w:next w:val="Standard"/>
    <w:link w:val="IntensivesZitatZchn"/>
    <w:uiPriority w:val="30"/>
    <w:qFormat/>
    <w:rsid w:val="00DF2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27D6"/>
    <w:rPr>
      <w:i/>
      <w:iCs/>
      <w:color w:val="0F4761" w:themeColor="accent1" w:themeShade="BF"/>
    </w:rPr>
  </w:style>
  <w:style w:type="character" w:styleId="IntensiverVerweis">
    <w:name w:val="Intense Reference"/>
    <w:basedOn w:val="Absatz-Standardschriftart"/>
    <w:uiPriority w:val="32"/>
    <w:qFormat/>
    <w:rsid w:val="00DF27D6"/>
    <w:rPr>
      <w:b/>
      <w:bCs/>
      <w:smallCaps/>
      <w:color w:val="0F4761" w:themeColor="accent1" w:themeShade="BF"/>
      <w:spacing w:val="5"/>
    </w:rPr>
  </w:style>
  <w:style w:type="paragraph" w:styleId="Kopfzeile">
    <w:name w:val="header"/>
    <w:basedOn w:val="Standard"/>
    <w:link w:val="KopfzeileZchn"/>
    <w:uiPriority w:val="99"/>
    <w:unhideWhenUsed/>
    <w:rsid w:val="00BA513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A5136"/>
  </w:style>
  <w:style w:type="paragraph" w:styleId="Fuzeile">
    <w:name w:val="footer"/>
    <w:basedOn w:val="Standard"/>
    <w:link w:val="FuzeileZchn"/>
    <w:uiPriority w:val="99"/>
    <w:unhideWhenUsed/>
    <w:rsid w:val="00BA51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A5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5552</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Böhm, Thomas</dc:creator>
  <cp:keywords/>
  <dc:description/>
  <cp:lastModifiedBy>Böhm, Thomas</cp:lastModifiedBy>
  <cp:revision>3</cp:revision>
  <dcterms:created xsi:type="dcterms:W3CDTF">2025-12-21T14:42:00Z</dcterms:created>
  <dcterms:modified xsi:type="dcterms:W3CDTF">2025-12-21T16:43:00Z</dcterms:modified>
</cp:coreProperties>
</file>