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3.2.S.4.1 Specification</w:t>
      </w:r>
    </w:p>
    <w:p>
      <w:r>
        <w:t>Drug substance: {{ substance.inn_name }}</w:t>
      </w:r>
    </w:p>
    <w:p>
      <w:r>
        <w:t>Compendial standard: {{ substance.compendial_std.value if substance.compendial_std else '[[NOT STATED]]'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2880"/>
          </w:tcPr>
          <w:p>
            <w:r>
              <w:t>{%tr for row in specification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row.test_name }}</w:t>
            </w:r>
          </w:p>
        </w:tc>
        <w:tc>
          <w:tcPr>
            <w:tcW w:type="dxa" w:w="2880"/>
          </w:tcPr>
          <w:p>
            <w:r>
              <w:t>{{ row.method }}</w:t>
            </w:r>
          </w:p>
        </w:tc>
        <w:tc>
          <w:tcPr>
            <w:tcW w:type="dxa" w:w="2880"/>
          </w:tcPr>
          <w:p>
            <w:r>
              <w:t>{{ row.acceptance_criterion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sz w:val="18"/>
        </w:rPr>
        <w:t>Methods are cited, not reproduced. Pharmacopoeial monographs are copyrighted and are referenced here by name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