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section_number }} {{ section_title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Analytical procedure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t>{%tr for row in procedures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row.owner }}</w:t>
            </w:r>
          </w:p>
        </w:tc>
        <w:tc>
          <w:tcPr>
            <w:tcW w:type="dxa" w:w="2160"/>
          </w:tcPr>
          <w:p>
            <w:r>
              <w:t>{{ row.test_name }}</w:t>
            </w:r>
          </w:p>
        </w:tc>
        <w:tc>
          <w:tcPr>
            <w:tcW w:type="dxa" w:w="2160"/>
          </w:tcPr>
          <w:p>
            <w:r>
              <w:t>{{ row.method }}</w:t>
            </w:r>
          </w:p>
        </w:tc>
        <w:tc>
          <w:tcPr>
            <w:tcW w:type="dxa" w:w="2160"/>
          </w:tcPr>
          <w:p>
            <w:r>
              <w:t>{{ row.basis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{{ in_house_statement }}</w:t>
      </w:r>
    </w:p>
    <w:p>
      <w:pPr>
        <w:pStyle w:val="Heading2"/>
      </w:pPr>
      <w:r>
        <w:t>Description of in-house procedures</w:t>
      </w:r>
    </w:p>
    <w:p>
      <w:r>
        <w:t>{{ narrative.in_house_methods or '[[AI DRAFT PENDING -- description of in-house analytical procedures]]'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