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3.2.P.6 Reference Standards or Materials</w:t>
      </w:r>
    </w:p>
    <w:p>
      <w:r>
        <w:t>Product: {{ product.brand_name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Standard claimed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 standard used</w:t>
            </w:r>
          </w:p>
        </w:tc>
      </w:tr>
      <w:tr>
        <w:tc>
          <w:tcPr>
            <w:tcW w:type="dxa" w:w="2880"/>
          </w:tcPr>
          <w:p>
            <w:r>
              <w:t>{%tr for row in reference_standards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row.material }}</w:t>
            </w:r>
          </w:p>
        </w:tc>
        <w:tc>
          <w:tcPr>
            <w:tcW w:type="dxa" w:w="2880"/>
          </w:tcPr>
          <w:p>
            <w:r>
              <w:t>{{ row.claimed }}</w:t>
            </w:r>
          </w:p>
        </w:tc>
        <w:tc>
          <w:tcPr>
            <w:tcW w:type="dxa" w:w="2880"/>
          </w:tcPr>
          <w:p>
            <w:r>
              <w:t>{{ row.standard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