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3.2.S.2.1 Manufacturer</w:t>
      </w:r>
    </w:p>
    <w:p>
      <w:r>
        <w:t>Drug substance: {{ substance.inn_name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{%tr for item in manufacturer_details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item.label }}</w:t>
            </w:r>
          </w:p>
        </w:tc>
        <w:tc>
          <w:tcPr>
            <w:tcW w:type="dxa" w:w="4320"/>
          </w:tcPr>
          <w:p>
            <w:r>
              <w:t>{{ item.value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r>
        <w:rPr>
          <w:sz w:val="18"/>
        </w:rPr>
        <w:t>Each site listed above is responsible for the manufacture of the drug substance named in this section. GMP evidence for the site is filed in Module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