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3.2.S.6 Container Closure System</w:t>
      </w:r>
    </w:p>
    <w:p>
      <w:r>
        <w:t>Drug substance: {{ substance.inn_name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Material</w:t>
            </w:r>
          </w:p>
        </w:tc>
      </w:tr>
      <w:tr>
        <w:tc>
          <w:tcPr>
            <w:tcW w:type="dxa" w:w="2880"/>
          </w:tcPr>
          <w:p>
            <w:r>
              <w:t>{%tr for pack in packaging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pack.component.value }}</w:t>
            </w:r>
          </w:p>
        </w:tc>
        <w:tc>
          <w:tcPr>
            <w:tcW w:type="dxa" w:w="2880"/>
          </w:tcPr>
          <w:p>
            <w:r>
              <w:t>{{ pack.description }}</w:t>
            </w:r>
          </w:p>
        </w:tc>
        <w:tc>
          <w:tcPr>
            <w:tcW w:type="dxa" w:w="2880"/>
          </w:tcPr>
          <w:p>
            <w:r>
              <w:t>{{ pack.material or '—'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{{ storage_statement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