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{{ owner_label }}: {{ owner_name }}</w:t>
      </w:r>
    </w:p>
    <w:p>
      <w:r>
        <w:t>Compendial standard: {{ compendial_standard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2880"/>
          </w:tcPr>
          <w:p>
            <w:r>
              <w:t>{%tr for row in specification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row.test_name }}</w:t>
            </w:r>
          </w:p>
        </w:tc>
        <w:tc>
          <w:tcPr>
            <w:tcW w:type="dxa" w:w="2880"/>
          </w:tcPr>
          <w:p>
            <w:r>
              <w:t>{{ row.method }}</w:t>
            </w:r>
          </w:p>
        </w:tc>
        <w:tc>
          <w:tcPr>
            <w:tcW w:type="dxa" w:w="2880"/>
          </w:tcPr>
          <w:p>
            <w:r>
              <w:t>{{ row.acceptance_criterion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sz w:val="18"/>
        </w:rPr>
        <w:t>Methods are cited, not reproduced. Pharmacopoeial monographs are copyrighted and are referenced here by name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