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3.2.P.6 Reference Standards or Materials</w:t>
      </w:r>
    </w:p>
    <w:p>
      <w:r>
        <w:t>Product: {{ product.brand_name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 claimed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 standard used</w:t>
            </w:r>
          </w:p>
        </w:tc>
      </w:tr>
      <w:tr>
        <w:tc>
          <w:tcPr>
            <w:tcW w:type="dxa" w:w="2880"/>
          </w:tcPr>
          <w:p>
            <w:r>
              <w:t>{%tr for row in reference_standards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row.material }}</w:t>
            </w:r>
          </w:p>
        </w:tc>
        <w:tc>
          <w:tcPr>
            <w:tcW w:type="dxa" w:w="2880"/>
          </w:tcPr>
          <w:p>
            <w:r>
              <w:t>{{ row.claimed }}</w:t>
            </w:r>
          </w:p>
        </w:tc>
        <w:tc>
          <w:tcPr>
            <w:tcW w:type="dxa" w:w="2880"/>
          </w:tcPr>
          <w:p>
            <w:r>
              <w:t>{{ row.standard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