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3.2.P.7 Container Closure System</w:t>
      </w:r>
    </w:p>
    <w:p>
      <w:r>
        <w:t>Product: {{ product.brand_name }}</w:t>
      </w:r>
    </w:p>
    <w:p>
      <w:r>
        <w:t>Pack: {{ pack.component.value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{%tr for item in pack_details %}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{{ item.label }}</w:t>
            </w:r>
          </w:p>
        </w:tc>
        <w:tc>
          <w:tcPr>
            <w:tcW w:type="dxa" w:w="4320"/>
          </w:tcPr>
          <w:p>
            <w:r>
              <w:t>{{ item.value }}</w:t>
            </w:r>
          </w:p>
        </w:tc>
      </w:tr>
      <w:tr>
        <w:tc>
          <w:tcPr>
            <w:tcW w:type="dxa" w:w="4320"/>
          </w:tcPr>
          <w:p>
            <w:r>
              <w:t>{%tr endfor %}</w:t>
            </w:r>
          </w:p>
        </w:tc>
        <w:tc>
          <w:tcPr>
            <w:tcW w:type="dxa" w:w="4320"/>
          </w:tcPr>
          <w:p/>
        </w:tc>
      </w:tr>
    </w:tbl>
    <w:p>
      <w:r>
        <w:t>{{ storage_statement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