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3.2.S.5 Reference Standards or Materials</w:t>
      </w:r>
    </w:p>
    <w:p>
      <w:r>
        <w:t>Drug substance: {{ substance.inn_name }}</w:t>
      </w:r>
    </w:p>
    <w:p>
      <w:r>
        <w:t>{{ standard_statement }}</w:t>
      </w:r>
    </w:p>
    <w:p>
      <w:r>
        <w:rPr>
          <w:sz w:val="18"/>
        </w:rPr>
        <w:t>Reference standards are cited, not reproduced: pharmacopoeial monographs and their reference substances are copyrighted material (see 3.2.S.4.1).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