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 section_number }} {{ section_title }}</w:t>
      </w:r>
    </w:p>
    <w:p>
      <w:r>
        <w:t>Product: {{ product_name }} ({{ generic_name }})</w:t>
      </w:r>
    </w:p>
    <w:p>
      <w:r>
        <w:t>Dosage form: {{ dosage_form }}</w:t>
      </w:r>
    </w:p>
    <w:p>
      <w:r>
        <w:t>{{ no_requests_statement }}</w:t>
      </w:r>
    </w:p>
    <w:p>
      <w:r>
        <w:t>{%p for request in requests %}</w:t>
      </w:r>
    </w:p>
    <w:p>
      <w:pPr>
        <w:pStyle w:val="Heading2"/>
      </w:pPr>
      <w:r>
        <w:t>Request for {{ request.strength }}</w:t>
      </w:r>
    </w:p>
    <w:p>
      <w:r>
        <w:t>Basis: {{ request.basis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{%tr for item in request.details %}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{{ item.label }}</w:t>
            </w:r>
          </w:p>
        </w:tc>
        <w:tc>
          <w:tcPr>
            <w:tcW w:type="dxa" w:w="4320"/>
          </w:tcPr>
          <w:p>
            <w:r>
              <w:t>{{ item.value }}</w:t>
            </w:r>
          </w:p>
        </w:tc>
      </w:tr>
      <w:tr>
        <w:tc>
          <w:tcPr>
            <w:tcW w:type="dxa" w:w="4320"/>
          </w:tcPr>
          <w:p>
            <w:r>
              <w:t>{%tr endfor %}</w:t>
            </w:r>
          </w:p>
        </w:tc>
        <w:tc>
          <w:tcPr>
            <w:tcW w:type="dxa" w:w="4320"/>
          </w:tcPr>
          <w:p/>
        </w:tc>
      </w:tr>
    </w:tbl>
    <w:p>
      <w:r>
        <w:t>{%p endfor %}</w:t>
      </w:r>
    </w:p>
    <w:p>
      <w:pPr>
        <w:pStyle w:val="Heading2"/>
      </w:pPr>
      <w:r>
        <w:t>Justification</w:t>
      </w:r>
    </w:p>
    <w:p>
      <w:r>
        <w:t>{{ narrative.justification or '[[AI DRAFT PENDING -- biowaiver justification]]' }}</w:t>
      </w:r>
    </w:p>
    <w:p>
      <w:r>
        <w:rPr>
          <w:sz w:val="18"/>
        </w:rPr>
        <w:t>A biowaiver and an in vivo bioequivalence study are alternatives, not companions: exactly one route must be filed for a given strength, and rule R06 blocks the export when both or neither are present.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