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section_number }} {{ section_title }}</w:t>
      </w:r>
    </w:p>
    <w:p>
      <w:pPr>
        <w:pStyle w:val="Heading2"/>
      </w:pPr>
      <w:r>
        <w:t>1. Name of the medicinal product</w:t>
      </w:r>
    </w:p>
    <w:p>
      <w:r>
        <w:t>{{ shared.product_name }}</w:t>
      </w:r>
    </w:p>
    <w:p>
      <w:pPr>
        <w:pStyle w:val="Heading2"/>
      </w:pPr>
      <w:r>
        <w:t>2. Qualitative and quantitative composition</w:t>
      </w:r>
    </w:p>
    <w:p>
      <w:r>
        <w:t>{{ shared.strength }}</w:t>
      </w:r>
    </w:p>
    <w:p>
      <w:r>
        <w:t>For the full list of excipients, see section 6.1.</w:t>
      </w:r>
    </w:p>
    <w:p>
      <w:pPr>
        <w:pStyle w:val="Heading2"/>
      </w:pPr>
      <w:r>
        <w:t>3. Pharmaceutical form</w:t>
      </w:r>
    </w:p>
    <w:p>
      <w:r>
        <w:t>{{ shared.dosage_form }}</w:t>
      </w:r>
    </w:p>
    <w:p>
      <w:pPr>
        <w:pStyle w:val="Heading2"/>
      </w:pPr>
      <w:r>
        <w:t>4. Clinical particulars</w:t>
      </w:r>
    </w:p>
    <w:p>
      <w:pPr>
        <w:pStyle w:val="Heading3"/>
      </w:pPr>
      <w:r>
        <w:t>4.1 Therapeutic indications</w:t>
      </w:r>
    </w:p>
    <w:p>
      <w:r>
        <w:t>{{ therapeutic_indications }}</w:t>
      </w:r>
    </w:p>
    <w:p>
      <w:pPr>
        <w:pStyle w:val="Heading3"/>
      </w:pPr>
      <w:r>
        <w:t>4.2 Posology and method of administration</w:t>
      </w:r>
    </w:p>
    <w:p>
      <w:r>
        <w:t>{{ posology_and_administration }}</w:t>
      </w:r>
    </w:p>
    <w:p>
      <w:r>
        <w:t>Route of administration: {{ shared.route_of_administration }}</w:t>
      </w:r>
    </w:p>
    <w:p>
      <w:pPr>
        <w:pStyle w:val="Heading3"/>
      </w:pPr>
      <w:r>
        <w:t>4.3 Contraindications</w:t>
      </w:r>
    </w:p>
    <w:p>
      <w:r>
        <w:t>{%p for item in contraindications %}</w:t>
      </w:r>
    </w:p>
    <w:p>
      <w:pPr>
        <w:pStyle w:val="ListBullet"/>
      </w:pPr>
      <w:r>
        <w:t>{{ item }}</w:t>
      </w:r>
    </w:p>
    <w:p>
      <w:r>
        <w:t>{%p endfor %}</w:t>
      </w:r>
    </w:p>
    <w:p>
      <w:pPr>
        <w:pStyle w:val="Heading3"/>
      </w:pPr>
      <w:r>
        <w:t>4.4 Special warnings and precautions for use</w:t>
      </w:r>
    </w:p>
    <w:p>
      <w:r>
        <w:t>{%p for item in special_warnings %}</w:t>
      </w:r>
    </w:p>
    <w:p>
      <w:pPr>
        <w:pStyle w:val="ListBullet"/>
      </w:pPr>
      <w:r>
        <w:t>{{ item }}</w:t>
      </w:r>
    </w:p>
    <w:p>
      <w:r>
        <w:t>{%p endfor %}</w:t>
      </w:r>
    </w:p>
    <w:p>
      <w:pPr>
        <w:pStyle w:val="Heading3"/>
      </w:pPr>
      <w:r>
        <w:t>4.5 Interaction with other medicinal products</w:t>
      </w:r>
    </w:p>
    <w:p>
      <w:r>
        <w:t>{{ interactions }}</w:t>
      </w:r>
    </w:p>
    <w:p>
      <w:pPr>
        <w:pStyle w:val="Heading3"/>
      </w:pPr>
      <w:r>
        <w:t>4.6 Fertility, pregnancy and lactation</w:t>
      </w:r>
    </w:p>
    <w:p>
      <w:r>
        <w:t>{{ pregnancy_and_lactation }}</w:t>
      </w:r>
    </w:p>
    <w:p>
      <w:pPr>
        <w:pStyle w:val="Heading3"/>
      </w:pPr>
      <w:r>
        <w:t>4.7 Effects on ability to drive and use machines</w:t>
      </w:r>
    </w:p>
    <w:p>
      <w:r>
        <w:t>{{ effects_on_driving }}</w:t>
      </w:r>
    </w:p>
    <w:p>
      <w:pPr>
        <w:pStyle w:val="Heading3"/>
      </w:pPr>
      <w:r>
        <w:t>4.8 Undesirable effects</w:t>
      </w:r>
    </w:p>
    <w:tbl>
      <w:tblPr>
        <w:tblStyle w:val="TableGrid"/>
        <w:tblW w:type="auto" w:w="0"/>
        <w:tblLook w:firstColumn="1" w:firstRow="1" w:lastColumn="0" w:lastRow="0" w:noHBand="0" w:noVBand="1" w:val="04A0"/>
      </w:tblPr>
      <w:tblGrid>
        <w:gridCol w:w="4320"/>
        <w:gridCol w:w="4320"/>
      </w:tblGrid>
      <w:tr>
        <w:tc>
          <w:tcPr>
            <w:tcW w:type="dxa" w:w="4320"/>
          </w:tcPr>
          <w:p>
            <w:r>
              <w:rPr>
                <w:b/>
              </w:rPr>
              <w:t>Undesirable effect</w:t>
            </w:r>
          </w:p>
        </w:tc>
        <w:tc>
          <w:tcPr>
            <w:tcW w:type="dxa" w:w="4320"/>
          </w:tcPr>
          <w:p>
            <w:r>
              <w:rPr>
                <w:b/>
              </w:rPr>
              <w:t>Frequency</w:t>
            </w:r>
          </w:p>
        </w:tc>
      </w:tr>
      <w:tr>
        <w:tc>
          <w:tcPr>
            <w:tcW w:type="dxa" w:w="4320"/>
          </w:tcPr>
          <w:p>
            <w:r>
              <w:t>{%tr for row in undesirable_effects %}</w:t>
            </w:r>
          </w:p>
        </w:tc>
        <w:tc>
          <w:tcPr>
            <w:tcW w:type="dxa" w:w="4320"/>
          </w:tcPr>
          <w:p/>
        </w:tc>
      </w:tr>
      <w:tr>
        <w:tc>
          <w:tcPr>
            <w:tcW w:type="dxa" w:w="4320"/>
          </w:tcPr>
          <w:p>
            <w:r>
              <w:t>{{ row.effect }}</w:t>
            </w:r>
          </w:p>
        </w:tc>
        <w:tc>
          <w:tcPr>
            <w:tcW w:type="dxa" w:w="4320"/>
          </w:tcPr>
          <w:p>
            <w:r>
              <w:t>{{ row.frequency }}</w:t>
            </w:r>
          </w:p>
        </w:tc>
      </w:tr>
      <w:tr>
        <w:tc>
          <w:tcPr>
            <w:tcW w:type="dxa" w:w="4320"/>
          </w:tcPr>
          <w:p>
            <w:r>
              <w:t>{%tr endfor %}</w:t>
            </w:r>
          </w:p>
        </w:tc>
        <w:tc>
          <w:tcPr>
            <w:tcW w:type="dxa" w:w="4320"/>
          </w:tcPr>
          <w:p/>
        </w:tc>
      </w:tr>
    </w:tbl>
    <w:p>
      <w:pPr>
        <w:pStyle w:val="Heading3"/>
      </w:pPr>
      <w:r>
        <w:t>4.9 Overdose</w:t>
      </w:r>
    </w:p>
    <w:p>
      <w:r>
        <w:t>{{ overdose }}</w:t>
      </w:r>
    </w:p>
    <w:p>
      <w:pPr>
        <w:pStyle w:val="Heading2"/>
      </w:pPr>
      <w:r>
        <w:t>5. Pharmacological properties</w:t>
      </w:r>
    </w:p>
    <w:p>
      <w:pPr>
        <w:pStyle w:val="Heading3"/>
      </w:pPr>
      <w:r>
        <w:t>5.1 Pharmacodynamic properties</w:t>
      </w:r>
    </w:p>
    <w:p>
      <w:r>
        <w:t>{{ narrative.pharmacodynamic_properties or '[[AI DRAFT PENDING -- pharmacodynamic properties]]' }}</w:t>
      </w:r>
    </w:p>
    <w:p>
      <w:pPr>
        <w:pStyle w:val="Heading3"/>
      </w:pPr>
      <w:r>
        <w:t>5.2 Pharmacokinetic properties</w:t>
      </w:r>
    </w:p>
    <w:p>
      <w:r>
        <w:t>{{ narrative.pharmacokinetic_properties or '[[AI DRAFT PENDING -- pharmacokinetic properties]]' }}</w:t>
      </w:r>
    </w:p>
    <w:p>
      <w:pPr>
        <w:pStyle w:val="Heading3"/>
      </w:pPr>
      <w:r>
        <w:t>5.3 Preclinical safety data</w:t>
      </w:r>
    </w:p>
    <w:p>
      <w:r>
        <w:t>{{ narrative.preclinical_safety or '[[AI DRAFT PENDING -- preclinical safety]]' }}</w:t>
      </w:r>
    </w:p>
    <w:p>
      <w:pPr>
        <w:pStyle w:val="Heading2"/>
      </w:pPr>
      <w:r>
        <w:t>6. Pharmaceutical particulars</w:t>
      </w:r>
    </w:p>
    <w:p>
      <w:pPr>
        <w:pStyle w:val="Heading3"/>
      </w:pPr>
      <w:r>
        <w:t>6.1 List of excipients</w:t>
      </w:r>
    </w:p>
    <w:p>
      <w:r>
        <w:t>{{ shared.excipients }}</w:t>
      </w:r>
    </w:p>
    <w:p>
      <w:pPr>
        <w:pStyle w:val="Heading3"/>
      </w:pPr>
      <w:r>
        <w:t>6.2 Incompatibilities</w:t>
      </w:r>
    </w:p>
    <w:p>
      <w:r>
        <w:t>{{ incompatibilities }}</w:t>
      </w:r>
    </w:p>
    <w:p>
      <w:pPr>
        <w:pStyle w:val="Heading3"/>
      </w:pPr>
      <w:r>
        <w:t>6.3 Shelf life</w:t>
      </w:r>
    </w:p>
    <w:p>
      <w:r>
        <w:t>{{ shared.shelf_life }}</w:t>
      </w:r>
    </w:p>
    <w:p>
      <w:pPr>
        <w:pStyle w:val="Heading3"/>
      </w:pPr>
      <w:r>
        <w:t>6.4 Special precautions for storage</w:t>
      </w:r>
    </w:p>
    <w:p>
      <w:r>
        <w:t>{{ shared.storage_condition }}</w:t>
      </w:r>
    </w:p>
    <w:p>
      <w:pPr>
        <w:pStyle w:val="Heading3"/>
      </w:pPr>
      <w:r>
        <w:t>6.5 Nature and contents of container</w:t>
      </w:r>
    </w:p>
    <w:p>
      <w:r>
        <w:t>{{ shared.container }}</w:t>
      </w:r>
    </w:p>
    <w:p>
      <w:pPr>
        <w:pStyle w:val="Heading3"/>
      </w:pPr>
      <w:r>
        <w:t>6.6 Special precautions for disposal</w:t>
      </w:r>
    </w:p>
    <w:p>
      <w:r>
        <w:t>{{ disposal }}</w:t>
      </w:r>
    </w:p>
    <w:p>
      <w:pPr>
        <w:pStyle w:val="Heading2"/>
      </w:pPr>
      <w:r>
        <w:t>7. Marketing authorisation holder</w:t>
      </w:r>
    </w:p>
    <w:p>
      <w:r>
        <w:t>{{ marketing_authorisation_holder }}</w:t>
      </w:r>
    </w:p>
    <w:p>
      <w:r>
        <w:t>{{ marketing_authorisation_holder_address }}</w:t>
      </w:r>
    </w:p>
    <w:p>
      <w:r>
        <w:t>Manufactured by: {{ manufacturer_name }}</w:t>
      </w:r>
    </w:p>
    <w:p>
      <w:r>
        <w:rPr>
          <w:sz w:val="18"/>
        </w:rPr>
        <w:t>Sections 6.1, 6.3, 6.4 and 6.5 are computed from the product data, the packaging rows filed at 3.2.P.7 and the stability data filed at 3.2.P.8. They are the same values printed on the label (1.3.2) and in the leaflet (1.3.3), read from one place -- so the three documents cannot state different shelf lives, storage conditions or pack sizes.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