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1.2.1 Application Form</w:t>
      </w:r>
    </w:p>
    <w:p>
      <w:r>
        <w:t>To: The Director-General, {{ authority }}</w:t>
      </w:r>
    </w:p>
    <w:p>
      <w:r>
        <w:t>Application type: {{ registration_type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{%tr for item in application_details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 item.label }}</w:t>
            </w:r>
          </w:p>
        </w:tc>
        <w:tc>
          <w:tcPr>
            <w:tcW w:type="dxa" w:w="4320"/>
          </w:tcPr>
          <w:p>
            <w:r>
              <w:t>{{ item.value 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p>
      <w:r>
        <w:t>Signed: {{ authorized_representative }}</w:t>
      </w:r>
    </w:p>
    <w:p>
      <w:r>
        <w:rPr>
          <w:sz w:val="18"/>
        </w:rPr>
        <w:t>This form and the registration form (1.2.2) render from the same applicant, product and project records. Neither restates the other; both print the same values, so they cannot disagree.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