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Drug substance: {{ substance.inn_name }}</w:t>
      </w:r>
    </w:p>
    <w:p>
      <w:r>
        <w:t>{{ coverage_statement }}</w:t>
      </w:r>
    </w:p>
    <w:p>
      <w:pPr>
        <w:pStyle w:val="Heading2"/>
      </w:pPr>
      <w:r>
        <w:t>Drug substance and manufacturer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{{ section_title }}</w:t>
      </w:r>
    </w:p>
    <w:p>
      <w:r>
        <w:t>{{ narrative.description or '[[AI DRAFT PENDING -- ' ~ section_number ~ ' ' ~ section_title ~ ']]' }}</w:t>
      </w:r>
    </w:p>
    <w:p>
      <w:r>
        <w:rPr>
          <w:sz w:val="18"/>
        </w:rPr>
        <w:t>The identity, manufacturer and CEP/APIMF status above are read from the drug substance record that 3.2.S.1 and 3.2.S.2.1 also render from. Where a CEP or an APIMF is claimed, the manufacturing detail is filed by the API manufacturer and this section is a cross-reference.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