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240"/>
        <w:jc w:val="left"/>
      </w:pPr>
      <w:r>
        <w:rPr>
          <w:rFonts w:ascii="Georgia" w:cs="Georgia" w:eastAsia="Georgia" w:hAnsi="Georgia"/>
          <w:b/>
          <w:bCs/>
          <w:color w:val="1A3A5C"/>
          <w:sz w:val="56"/>
          <w:szCs w:val="56"/>
        </w:rPr>
        <w:t xml:space="preserve">SilverTech SEO Content Strategy</w:t>
      </w:r>
    </w:p>
    <w:p>
      <w:pPr>
        <w:spacing w:before="0" w:after="160"/>
        <w:jc w:val="left"/>
      </w:pPr>
      <w:r>
        <w:rPr>
          <w:rFonts w:ascii="Georgia" w:cs="Georgia" w:eastAsia="Georgia" w:hAnsi="Georgia"/>
          <w:i/>
          <w:iCs/>
          <w:color w:val="0E7C86"/>
          <w:sz w:val="28"/>
          <w:szCs w:val="28"/>
        </w:rPr>
        <w:t xml:space="preserve">Full Topical Map, Content Cluster Architecture,
Priority Queue &amp; Slug Structure</w:t>
      </w:r>
    </w:p>
    <w:p>
      <w:pPr>
        <w:spacing w:before="0" w:after="80"/>
      </w:pPr>
      <w:r>
        <w:t xml:space="preserve"/>
      </w:r>
    </w:p>
    <w:p>
      <w:pPr>
        <w:spacing w:before="0" w:after="240"/>
      </w:pPr>
      <w:r>
        <w:rPr>
          <w:rFonts w:ascii="Georgia" w:cs="Georgia" w:eastAsia="Georgia" w:hAnsi="Georgia"/>
          <w:color w:val="D5D8DC"/>
          <w:sz w:val="22"/>
          <w:szCs w:val="22"/>
        </w:rPr>
        <w:t xml:space="preserve">─────────────────────────────────────────────────────</w:t>
      </w:r>
    </w:p>
    <w:p>
      <w:pPr>
        <w:spacing w:before="0" w:after="140"/>
        <w:jc w:val="both"/>
      </w:pPr>
      <w:r>
        <w:rPr>
          <w:rFonts w:ascii="Georgia" w:cs="Georgia" w:eastAsia="Georgia" w:hAnsi="Georgia"/>
          <w:b w:val="false"/>
          <w:bCs w:val="false"/>
          <w:i/>
          <w:iCs/>
          <w:color w:val="1C2833"/>
          <w:sz w:val="22"/>
          <w:szCs w:val="22"/>
        </w:rPr>
        <w:t xml:space="preserve">This document maps every content cluster SilverTech should own to build topical authority in the senior living and memory care space, drive organic traffic at every stage of the family decision journey, and funnel that traffic into the directory. Topics are organized by pillar, intent stage, and production priority.</w:t>
      </w:r>
    </w:p>
    <w:p>
      <w:pPr>
        <w:spacing w:before="0" w:after="80"/>
      </w:pPr>
      <w:r>
        <w:t xml:space="preserve"/>
      </w:r>
    </w:p>
    <w:p>
      <w:pPr>
        <w:spacing w:before="0" w:after="80"/>
      </w:pPr>
      <w:r>
        <w:rPr>
          <w:rFonts w:ascii="Arial" w:cs="Arial" w:eastAsia="Arial" w:hAnsi="Arial"/>
          <w:color w:val="5D6D7E"/>
          <w:sz w:val="18"/>
          <w:szCs w:val="18"/>
        </w:rPr>
        <w:t xml:space="preserve">Prepared: February 2026</w:t>
      </w:r>
    </w:p>
    <w:p>
      <w:pPr>
        <w:spacing w:before="0" w:after="80"/>
      </w:pPr>
      <w:r>
        <w:rPr>
          <w:rFonts w:ascii="Arial" w:cs="Arial" w:eastAsia="Arial" w:hAnsi="Arial"/>
          <w:color w:val="5D6D7E"/>
          <w:sz w:val="18"/>
          <w:szCs w:val="18"/>
        </w:rPr>
        <w:t xml:space="preserve">For: SilverTech Editorial &amp; Engineering Teams</w:t>
      </w:r>
    </w:p>
    <w:p>
      <w:pPr>
        <w:spacing w:before="0" w:after="80"/>
      </w:pPr>
      <w:r>
        <w:rPr>
          <w:rFonts w:ascii="Arial" w:cs="Arial" w:eastAsia="Arial" w:hAnsi="Arial"/>
          <w:color w:val="5D6D7E"/>
          <w:sz w:val="18"/>
          <w:szCs w:val="18"/>
        </w:rPr>
        <w:t xml:space="preserve">Platform: Astro  |  Site Type: Independent Senior Living Directory</w:t>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How to Think About This Strategy</w:t>
      </w:r>
    </w:p>
    <w:p>
      <w:pPr>
        <w:spacing w:before="0" w:after="140"/>
        <w:jc w:val="both"/>
      </w:pPr>
      <w:r>
        <w:rPr>
          <w:rFonts w:ascii="Georgia" w:cs="Georgia" w:eastAsia="Georgia" w:hAnsi="Georgia"/>
          <w:b w:val="false"/>
          <w:bCs w:val="false"/>
          <w:i w:val="false"/>
          <w:iCs w:val="false"/>
          <w:color w:val="1C2833"/>
          <w:sz w:val="22"/>
          <w:szCs w:val="22"/>
        </w:rPr>
        <w:t xml:space="preserve">Most senior care websites publish loosely connected blog posts. SilverTech's advantage is building a content architecture that Google reads as topical authority — a site that owns a subject rather than just mentioning it. The difference in organic traffic between the two approaches is not marginal. It is an order of magnitude.</w:t>
      </w:r>
    </w:p>
    <w:p>
      <w:pPr>
        <w:spacing w:before="0" w:after="80"/>
      </w:pPr>
      <w:r>
        <w:t xml:space="preserve"/>
      </w:r>
    </w:p>
    <w:p>
      <w:pPr>
        <w:spacing w:before="0" w:after="140"/>
        <w:jc w:val="both"/>
      </w:pPr>
      <w:r>
        <w:rPr>
          <w:rFonts w:ascii="Georgia" w:cs="Georgia" w:eastAsia="Georgia" w:hAnsi="Georgia"/>
          <w:b w:val="false"/>
          <w:bCs w:val="false"/>
          <w:i w:val="false"/>
          <w:iCs w:val="false"/>
          <w:color w:val="1C2833"/>
          <w:sz w:val="22"/>
          <w:szCs w:val="22"/>
        </w:rPr>
        <w:t xml:space="preserve">The architecture below is built on three principles: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PRINCIPLE</w:t>
            </w:r>
          </w:p>
        </w:tc>
        <w:tc>
          <w:tcPr>
            <w:tcW w:type="dxa" w:w="73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WHAT IT MEANS IN PRACTICE</w:t>
            </w:r>
          </w:p>
        </w:tc>
      </w:tr>
      <w:tr>
        <w:tc>
          <w:tcPr>
            <w:tcW w:type="dxa" w:w="20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Topical depth &gt; keyword density</w:t>
            </w:r>
          </w:p>
        </w:tc>
        <w:tc>
          <w:tcPr>
            <w:tcW w:type="dxa" w:w="7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Cover every angle of a topic — the question before the question, the question the user didn't know to ask, and the follow-up question — so Google associates the domain with the subject, not just individual pages.</w:t>
            </w:r>
          </w:p>
        </w:tc>
      </w:tr>
      <w:tr>
        <w:tc>
          <w:tcPr>
            <w:tcW w:type="dxa" w:w="20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Internal linking is the product</w:t>
            </w:r>
          </w:p>
        </w:tc>
        <w:tc>
          <w:tcPr>
            <w:tcW w:type="dxa" w:w="7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Every guide page exists partly to rank on its own and partly to pass authority to directory, city, and facility pages. The content is the top of a funnel. The directory is the bottom.</w:t>
            </w:r>
          </w:p>
        </w:tc>
      </w:tr>
      <w:tr>
        <w:tc>
          <w:tcPr>
            <w:tcW w:type="dxa" w:w="20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Serve every stage of the journey</w:t>
            </w:r>
          </w:p>
        </w:tc>
        <w:tc>
          <w:tcPr>
            <w:tcW w:type="dxa" w:w="7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Families searching for senior care move through distinct phases: early awareness, active research, comparison, and decision. If SilverTech only captures the 'ready to choose' stage, it misses 80% of its audience and cedes the earlier, higher-volume traffic to competitors.</w:t>
            </w:r>
          </w:p>
        </w:tc>
      </w:tr>
    </w:tbl>
    <w:p>
      <w:pPr>
        <w:spacing w:before="0" w:after="80"/>
      </w:pPr>
      <w:r>
        <w:t xml:space="preserve"/>
      </w:r>
    </w:p>
    <w:p>
      <w:pPr>
        <w:spacing w:before="0" w:after="80"/>
      </w:pPr>
      <w:r>
        <w:t xml:space="preserve"/>
      </w:r>
    </w:p>
    <w:p>
      <w:pPr>
        <w:spacing w:before="0" w:after="140"/>
        <w:jc w:val="both"/>
      </w:pPr>
      <w:r>
        <w:rPr>
          <w:rFonts w:ascii="Georgia" w:cs="Georgia" w:eastAsia="Georgia" w:hAnsi="Georgia"/>
          <w:b w:val="false"/>
          <w:bCs w:val="false"/>
          <w:i w:val="false"/>
          <w:iCs w:val="false"/>
          <w:color w:val="1C2833"/>
          <w:sz w:val="22"/>
          <w:szCs w:val="22"/>
        </w:rPr>
        <w:t xml:space="preserve">The four journey stages and their relative search volumes: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3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User Mindset</w:t>
            </w:r>
          </w:p>
        </w:tc>
        <w:tc>
          <w:tcPr>
            <w:tcW w:type="dxa" w:w="23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 Query</w:t>
            </w:r>
          </w:p>
        </w:tc>
        <w:tc>
          <w:tcPr>
            <w:tcW w:type="dxa" w:w="23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Volume</w:t>
            </w:r>
          </w:p>
        </w:tc>
      </w:tr>
      <w:tr>
        <w:tc>
          <w:tcPr>
            <w:tcW w:type="dxa" w:w="23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 Awareness</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Something is wrong. I don't know what to do.</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"signs parent needs memory care"</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High — 10K–50K/mo</w:t>
            </w:r>
          </w:p>
        </w:tc>
      </w:tr>
      <w:tr>
        <w:tc>
          <w:tcPr>
            <w:tcW w:type="dxa" w:w="23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2. Research</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I understand the options. I need to learn how they work.</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"memory care vs nursing home"</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High — 5K–30K/mo</w:t>
            </w:r>
          </w:p>
        </w:tc>
      </w:tr>
      <w:tr>
        <w:tc>
          <w:tcPr>
            <w:tcW w:type="dxa" w:w="23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3. Comparison</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I'm evaluating specific facilities and costs.</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"memory care cost [city]"</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Medium — 500–5K/mo</w:t>
            </w:r>
          </w:p>
        </w:tc>
      </w:tr>
      <w:tr>
        <w:tc>
          <w:tcPr>
            <w:tcW w:type="dxa" w:w="23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4. Decision</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I'm ready to choose. I need validation.</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"best memory care near me"</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Medium — 1K–10K/mo</w:t>
            </w:r>
          </w:p>
        </w:tc>
      </w:tr>
    </w:tbl>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Content Pillar 1: Costs &amp; Financial Planning</w:t>
      </w:r>
    </w:p>
    <w:p>
      <w:pPr>
        <w:spacing w:before="0" w:after="140"/>
        <w:jc w:val="both"/>
      </w:pPr>
      <w:r>
        <w:rPr>
          <w:rFonts w:ascii="Georgia" w:cs="Georgia" w:eastAsia="Georgia" w:hAnsi="Georgia"/>
          <w:b w:val="false"/>
          <w:bCs w:val="false"/>
          <w:i w:val="false"/>
          <w:iCs w:val="false"/>
          <w:color w:val="1C2833"/>
          <w:sz w:val="22"/>
          <w:szCs w:val="22"/>
        </w:rPr>
        <w:t xml:space="preserve">This is the highest-intent traffic cluster in senior care. Families searching for cost information are in active research or comparison mode. They are close to a decision. This pillar already has its anchor page ('Hidden Costs of Memory Care'). Every article below strengthens it.</w:t>
      </w:r>
    </w:p>
    <w:p>
      <w:pPr>
        <w:spacing w:before="0" w:after="80"/>
      </w:pPr>
      <w:r>
        <w:t xml:space="preserve"/>
      </w:r>
    </w:p>
    <w:p>
      <w:pPr>
        <w:spacing w:before="320" w:after="60"/>
      </w:pPr>
      <w:r>
        <w:rPr>
          <w:rFonts w:ascii="Arial" w:cs="Arial" w:eastAsia="Arial" w:hAnsi="Arial"/>
          <w:b/>
          <w:bCs/>
          <w:color w:val="0E7C86"/>
          <w:spacing w:val="40"/>
          <w:sz w:val="16"/>
          <w:szCs w:val="16"/>
        </w:rPr>
        <w:t xml:space="preserve">ANCHOR PAGE — ALREADY BUILT</w:t>
      </w:r>
    </w:p>
    <w:p>
      <w:pPr>
        <w:pStyle w:val="Heading3"/>
        <w:spacing w:before="280" w:after="100"/>
      </w:pPr>
      <w:r>
        <w:rPr>
          <w:rFonts w:ascii="Georgia" w:cs="Georgia" w:eastAsia="Georgia" w:hAnsi="Georgia"/>
          <w:b/>
          <w:bCs/>
          <w:color w:val="0E7C86"/>
          <w:sz w:val="22"/>
          <w:szCs w:val="22"/>
        </w:rPr>
        <w:t xml:space="preserve">/guides/hidden-costs-of-memory-care</w:t>
      </w:r>
    </w:p>
    <w:p>
      <w:pPr>
        <w:spacing w:before="0" w:after="100"/>
        <w:ind w:left="360"/>
      </w:pPr>
      <w:r>
        <w:rPr>
          <w:rFonts w:ascii="Georgia" w:cs="Georgia" w:eastAsia="Georgia" w:hAnsi="Georgia"/>
          <w:i/>
          <w:iCs/>
          <w:color w:val="5D6D7E"/>
          <w:sz w:val="20"/>
          <w:szCs w:val="20"/>
        </w:rPr>
        <w:t xml:space="preserve">Primary KW: hidden costs of memory care | ~2,800 words | Done</w:t>
      </w:r>
    </w:p>
    <w:p>
      <w:pPr>
        <w:spacing w:before="0" w:after="80"/>
      </w:pPr>
      <w:r>
        <w:t xml:space="preserve"/>
      </w:r>
    </w:p>
    <w:p>
      <w:pPr>
        <w:pBdr>
          <w:bottom w:val="single" w:color="D5D8DC" w:sz="1" w:space="1"/>
        </w:pBdr>
        <w:spacing w:before="160" w:after="160"/>
      </w:pPr>
      <w:r>
        <w:t xml:space="preserve"/>
      </w:r>
    </w:p>
    <w:p>
      <w:pPr>
        <w:spacing w:before="0" w:after="80"/>
      </w:pPr>
      <w:r>
        <w:t xml:space="preserve"/>
      </w:r>
    </w:p>
    <w:p>
      <w:pPr>
        <w:spacing w:before="320" w:after="60"/>
      </w:pPr>
      <w:r>
        <w:rPr>
          <w:rFonts w:ascii="Arial" w:cs="Arial" w:eastAsia="Arial" w:hAnsi="Arial"/>
          <w:b/>
          <w:bCs/>
          <w:color w:val="0E7C86"/>
          <w:spacing w:val="40"/>
          <w:sz w:val="16"/>
          <w:szCs w:val="16"/>
        </w:rPr>
        <w:t xml:space="preserve">PILLAR GUIDES (2,200–3,200 WORDS EACH)</w:t>
      </w:r>
    </w:p>
    <w:p>
      <w:pPr>
        <w:pStyle w:val="Heading3"/>
        <w:spacing w:before="280" w:after="100"/>
      </w:pPr>
      <w:r>
        <w:rPr>
          <w:rFonts w:ascii="Georgia" w:cs="Georgia" w:eastAsia="Georgia" w:hAnsi="Georgia"/>
          <w:b/>
          <w:bCs/>
          <w:color w:val="0E7C86"/>
          <w:sz w:val="22"/>
          <w:szCs w:val="22"/>
        </w:rPr>
        <w:t xml:space="preserve">/guides/how-to-pay-for-memory-care</w:t>
      </w:r>
    </w:p>
    <w:p>
      <w:pPr>
        <w:spacing w:before="0" w:after="140"/>
        <w:jc w:val="both"/>
      </w:pPr>
      <w:r>
        <w:rPr>
          <w:rFonts w:ascii="Georgia" w:cs="Georgia" w:eastAsia="Georgia" w:hAnsi="Georgia"/>
          <w:b w:val="false"/>
          <w:bCs w:val="false"/>
          <w:i w:val="false"/>
          <w:iCs w:val="false"/>
          <w:color w:val="1C2833"/>
          <w:sz w:val="22"/>
          <w:szCs w:val="22"/>
        </w:rPr>
        <w:t xml:space="preserve">Title: How to Pay for Memory Care: Medicare, Medicaid, Veterans Benefits, and Private Options</w:t>
      </w:r>
    </w:p>
    <w:p>
      <w:pPr>
        <w:spacing w:before="0" w:after="140"/>
        <w:jc w:val="both"/>
      </w:pPr>
      <w:r>
        <w:rPr>
          <w:rFonts w:ascii="Georgia" w:cs="Georgia" w:eastAsia="Georgia" w:hAnsi="Georgia"/>
          <w:b w:val="false"/>
          <w:bCs w:val="false"/>
          <w:i w:val="false"/>
          <w:iCs w:val="false"/>
          <w:color w:val="1C2833"/>
          <w:sz w:val="22"/>
          <w:szCs w:val="22"/>
        </w:rPr>
        <w:t xml:space="preserve">Why it ranks: 'how to pay for memory care' and 'does Medicare cover memory care' are two of the highest-volume queries in the space. Families need a comprehensive answer in one place.</w:t>
      </w:r>
    </w:p>
    <w:p>
      <w:pPr>
        <w:spacing w:before="0" w:after="140"/>
        <w:jc w:val="both"/>
      </w:pPr>
      <w:r>
        <w:rPr>
          <w:rFonts w:ascii="Georgia" w:cs="Georgia" w:eastAsia="Georgia" w:hAnsi="Georgia"/>
          <w:b w:val="false"/>
          <w:bCs w:val="false"/>
          <w:i w:val="false"/>
          <w:iCs w:val="false"/>
          <w:color w:val="1C2833"/>
          <w:sz w:val="22"/>
          <w:szCs w:val="22"/>
        </w:rPr>
        <w:t xml:space="preserve">Covers: What Medicare does and does NOT cover (critical — most families assume Medicare covers more than it does). Medicare Part A vs. B vs. Advantage nuances. Medicaid eligibility and the Medicaid spend-down process. Veterans Aid &amp; Attendance benefit (massively underutilized — huge traffic opportunity since competitors rarely cover it well). Long-term care insurance: what to look for in a policy, how to file a claim. Bridge financing options. Life settlement and reverse mortgage as last-resort options.</w:t>
      </w:r>
    </w:p>
    <w:p>
      <w:pPr>
        <w:spacing w:before="0" w:after="100"/>
        <w:ind w:left="360"/>
      </w:pPr>
      <w:r>
        <w:rPr>
          <w:rFonts w:ascii="Georgia" w:cs="Georgia" w:eastAsia="Georgia" w:hAnsi="Georgia"/>
          <w:i/>
          <w:iCs/>
          <w:color w:val="5D6D7E"/>
          <w:sz w:val="20"/>
          <w:szCs w:val="20"/>
        </w:rPr>
        <w:t xml:space="preserve">High-value internal links to: state Medicaid pages, Veterans benefit guide, cost estimator tool, facility directory</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/guides/memory-care-cost-by-state</w:t>
      </w:r>
    </w:p>
    <w:p>
      <w:pPr>
        <w:spacing w:before="0" w:after="140"/>
        <w:jc w:val="both"/>
      </w:pPr>
      <w:r>
        <w:rPr>
          <w:rFonts w:ascii="Georgia" w:cs="Georgia" w:eastAsia="Georgia" w:hAnsi="Georgia"/>
          <w:b w:val="false"/>
          <w:bCs w:val="false"/>
          <w:i w:val="false"/>
          <w:iCs w:val="false"/>
          <w:color w:val="1C2833"/>
          <w:sz w:val="22"/>
          <w:szCs w:val="22"/>
        </w:rPr>
        <w:t xml:space="preserve">Title: Memory Care Costs by State: 2026 National Guide</w:t>
      </w:r>
    </w:p>
    <w:p>
      <w:pPr>
        <w:spacing w:before="0" w:after="140"/>
        <w:jc w:val="both"/>
      </w:pPr>
      <w:r>
        <w:rPr>
          <w:rFonts w:ascii="Georgia" w:cs="Georgia" w:eastAsia="Georgia" w:hAnsi="Georgia"/>
          <w:b w:val="false"/>
          <w:bCs w:val="false"/>
          <w:i w:val="false"/>
          <w:iCs w:val="false"/>
          <w:color w:val="1C2833"/>
          <w:sz w:val="22"/>
          <w:szCs w:val="22"/>
        </w:rPr>
        <w:t xml:space="preserve">Why it ranks: This is a featured-snippet magnet and a hub for every state cost page. One comprehensive page ranking for 'memory care cost by state' plus 50 individual state pages is a massive traffic multiplication play.</w:t>
      </w:r>
    </w:p>
    <w:p>
      <w:pPr>
        <w:spacing w:before="0" w:after="140"/>
        <w:jc w:val="both"/>
      </w:pPr>
      <w:r>
        <w:rPr>
          <w:rFonts w:ascii="Georgia" w:cs="Georgia" w:eastAsia="Georgia" w:hAnsi="Georgia"/>
          <w:b w:val="false"/>
          <w:bCs w:val="false"/>
          <w:i w:val="false"/>
          <w:iCs w:val="false"/>
          <w:color w:val="1C2833"/>
          <w:sz w:val="22"/>
          <w:szCs w:val="22"/>
        </w:rPr>
        <w:t xml:space="preserve">Covers: Median base rate by state (table format), factors that drive regional cost variation (COL, regulation, labor markets), the five most affordable states, the five most expensive, and links to every individual state guide. Updated annually.</w:t>
      </w:r>
    </w:p>
    <w:p>
      <w:pPr>
        <w:spacing w:before="0" w:after="100"/>
        <w:ind w:left="360"/>
      </w:pPr>
      <w:r>
        <w:rPr>
          <w:rFonts w:ascii="Georgia" w:cs="Georgia" w:eastAsia="Georgia" w:hAnsi="Georgia"/>
          <w:i/>
          <w:iCs/>
          <w:color w:val="5D6D7E"/>
          <w:sz w:val="20"/>
          <w:szCs w:val="20"/>
        </w:rPr>
        <w:t xml:space="preserve">Each state page (/costs/memory-care-cost-[state]) targets '[state] memory care cost' — medium competition, very high buyer intent, builds directory link equity</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/guides/memory-care-vs-nursing-home-cost</w:t>
      </w:r>
    </w:p>
    <w:p>
      <w:pPr>
        <w:spacing w:before="0" w:after="140"/>
        <w:jc w:val="both"/>
      </w:pPr>
      <w:r>
        <w:rPr>
          <w:rFonts w:ascii="Georgia" w:cs="Georgia" w:eastAsia="Georgia" w:hAnsi="Georgia"/>
          <w:b w:val="false"/>
          <w:bCs w:val="false"/>
          <w:i w:val="false"/>
          <w:iCs w:val="false"/>
          <w:color w:val="1C2833"/>
          <w:sz w:val="22"/>
          <w:szCs w:val="22"/>
        </w:rPr>
        <w:t xml:space="preserve">Title: Memory Care vs. Nursing Home: Cost, Care Level, and How to Choose</w:t>
      </w:r>
    </w:p>
    <w:p>
      <w:pPr>
        <w:spacing w:before="0" w:after="140"/>
        <w:jc w:val="both"/>
      </w:pPr>
      <w:r>
        <w:rPr>
          <w:rFonts w:ascii="Georgia" w:cs="Georgia" w:eastAsia="Georgia" w:hAnsi="Georgia"/>
          <w:b w:val="false"/>
          <w:bCs w:val="false"/>
          <w:i w:val="false"/>
          <w:iCs w:val="false"/>
          <w:color w:val="1C2833"/>
          <w:sz w:val="22"/>
          <w:szCs w:val="22"/>
        </w:rPr>
        <w:t xml:space="preserve">Why it ranks: 'memory care vs nursing home' is a top-5 query in the category. Families are confused about the difference and actively searching to understand it.</w:t>
      </w:r>
    </w:p>
    <w:p>
      <w:pPr>
        <w:spacing w:before="0" w:after="140"/>
        <w:jc w:val="both"/>
      </w:pPr>
      <w:r>
        <w:rPr>
          <w:rFonts w:ascii="Georgia" w:cs="Georgia" w:eastAsia="Georgia" w:hAnsi="Georgia"/>
          <w:b w:val="false"/>
          <w:bCs w:val="false"/>
          <w:i w:val="false"/>
          <w:iCs w:val="false"/>
          <w:color w:val="1C2833"/>
          <w:sz w:val="22"/>
          <w:szCs w:val="22"/>
        </w:rPr>
        <w:t xml:space="preserve">Covers: Clinical differences in care model. Staffing ratio differences. What conditions are better served by each. Full cost comparison table. When memory care becomes insufficient and nursing home placement becomes necessary. How Medicare and Medicaid coverage differs between the two.</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/guides/assisted-living-vs-memory-care</w:t>
      </w:r>
    </w:p>
    <w:p>
      <w:pPr>
        <w:spacing w:before="0" w:after="140"/>
        <w:jc w:val="both"/>
      </w:pPr>
      <w:r>
        <w:rPr>
          <w:rFonts w:ascii="Georgia" w:cs="Georgia" w:eastAsia="Georgia" w:hAnsi="Georgia"/>
          <w:b w:val="false"/>
          <w:bCs w:val="false"/>
          <w:i w:val="false"/>
          <w:iCs w:val="false"/>
          <w:color w:val="1C2833"/>
          <w:sz w:val="22"/>
          <w:szCs w:val="22"/>
        </w:rPr>
        <w:t xml:space="preserve">Title: Assisted Living vs. Memory Care: What's the Difference and Which Does Your Parent Need?</w:t>
      </w:r>
    </w:p>
    <w:p>
      <w:pPr>
        <w:spacing w:before="0" w:after="140"/>
        <w:jc w:val="both"/>
      </w:pPr>
      <w:r>
        <w:rPr>
          <w:rFonts w:ascii="Georgia" w:cs="Georgia" w:eastAsia="Georgia" w:hAnsi="Georgia"/>
          <w:b w:val="false"/>
          <w:bCs w:val="false"/>
          <w:i w:val="false"/>
          <w:iCs w:val="false"/>
          <w:color w:val="1C2833"/>
          <w:sz w:val="22"/>
          <w:szCs w:val="22"/>
        </w:rPr>
        <w:t xml:space="preserve">Why it ranks: High-volume confusion query. Many families initially search 'assisted living' before understanding their loved one needs dementia-specific care.</w:t>
      </w:r>
    </w:p>
    <w:p>
      <w:pPr>
        <w:spacing w:before="0" w:after="140"/>
        <w:jc w:val="both"/>
      </w:pPr>
      <w:r>
        <w:rPr>
          <w:rFonts w:ascii="Georgia" w:cs="Georgia" w:eastAsia="Georgia" w:hAnsi="Georgia"/>
          <w:b w:val="false"/>
          <w:bCs w:val="false"/>
          <w:i w:val="false"/>
          <w:iCs w:val="false"/>
          <w:color w:val="1C2833"/>
          <w:sz w:val="22"/>
          <w:szCs w:val="22"/>
        </w:rPr>
        <w:t xml:space="preserve">Covers: The structural and staffing differences. Locked vs. unlocked units. Dementia-specific programming. The clinical triggers that indicate memory care vs. assisted living is appropriate. Cost comparison. How to have the conversation with a resistant parent.</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/guides/negotiating-memory-care-costs</w:t>
      </w:r>
    </w:p>
    <w:p>
      <w:pPr>
        <w:spacing w:before="0" w:after="140"/>
        <w:jc w:val="both"/>
      </w:pPr>
      <w:r>
        <w:rPr>
          <w:rFonts w:ascii="Georgia" w:cs="Georgia" w:eastAsia="Georgia" w:hAnsi="Georgia"/>
          <w:b w:val="false"/>
          <w:bCs w:val="false"/>
          <w:i w:val="false"/>
          <w:iCs w:val="false"/>
          <w:color w:val="1C2833"/>
          <w:sz w:val="22"/>
          <w:szCs w:val="22"/>
        </w:rPr>
        <w:t xml:space="preserve">Title: How to Negotiate Memory Care Costs (Most Families Don't Know This Is Possible)</w:t>
      </w:r>
    </w:p>
    <w:p>
      <w:pPr>
        <w:spacing w:before="0" w:after="140"/>
        <w:jc w:val="both"/>
      </w:pPr>
      <w:r>
        <w:rPr>
          <w:rFonts w:ascii="Georgia" w:cs="Georgia" w:eastAsia="Georgia" w:hAnsi="Georgia"/>
          <w:b w:val="false"/>
          <w:bCs w:val="false"/>
          <w:i w:val="false"/>
          <w:iCs w:val="false"/>
          <w:color w:val="1C2833"/>
          <w:sz w:val="22"/>
          <w:szCs w:val="22"/>
        </w:rPr>
        <w:t xml:space="preserve">Why it ranks: Zero competition on this specific angle, and it's genuinely useful. The title is the hook — most families have no idea any of this is negotiable.</w:t>
      </w:r>
    </w:p>
    <w:p>
      <w:pPr>
        <w:spacing w:before="0" w:after="140"/>
        <w:jc w:val="both"/>
      </w:pPr>
      <w:r>
        <w:rPr>
          <w:rFonts w:ascii="Georgia" w:cs="Georgia" w:eastAsia="Georgia" w:hAnsi="Georgia"/>
          <w:b w:val="false"/>
          <w:bCs w:val="false"/>
          <w:i w:val="false"/>
          <w:iCs w:val="false"/>
          <w:color w:val="1C2833"/>
          <w:sz w:val="22"/>
          <w:szCs w:val="22"/>
        </w:rPr>
        <w:t xml:space="preserve">Covers: What IS negotiable (community fees, base rate for vacant units, care level assessment timing, supply billing model). What typically ISN'T. Scripts for the conversation. The best time to negotiate (unit vacancy rate, end of fiscal quarter). How to use competing quotes as leverage. What to get in writing.</w:t>
      </w:r>
    </w:p>
    <w:p>
      <w:pPr>
        <w:spacing w:before="0" w:after="80"/>
      </w:pPr>
      <w:r>
        <w:t xml:space="preserve"/>
      </w:r>
    </w:p>
    <w:p>
      <w:pPr>
        <w:spacing w:before="320" w:after="60"/>
      </w:pPr>
      <w:r>
        <w:rPr>
          <w:rFonts w:ascii="Arial" w:cs="Arial" w:eastAsia="Arial" w:hAnsi="Arial"/>
          <w:b/>
          <w:bCs/>
          <w:color w:val="0E7C86"/>
          <w:spacing w:val="40"/>
          <w:sz w:val="16"/>
          <w:szCs w:val="16"/>
        </w:rPr>
        <w:t xml:space="preserve">SUPPORTING ARTICLES (900–1,500 WORDS)</w:t>
      </w:r>
    </w:p>
    <w:p>
      <w:pPr>
        <w:pStyle w:val="Heading3"/>
        <w:spacing w:before="280" w:after="100"/>
      </w:pPr>
      <w:r>
        <w:rPr>
          <w:rFonts w:ascii="Georgia" w:cs="Georgia" w:eastAsia="Georgia" w:hAnsi="Georgia"/>
          <w:b/>
          <w:bCs/>
          <w:color w:val="0E7C86"/>
          <w:sz w:val="22"/>
          <w:szCs w:val="22"/>
        </w:rPr>
        <w:t xml:space="preserve">/guides/long-term-care-insurance-memory-care</w:t>
      </w:r>
    </w:p>
    <w:p>
      <w:pPr>
        <w:spacing w:before="0" w:after="140"/>
        <w:jc w:val="both"/>
      </w:pPr>
      <w:r>
        <w:rPr>
          <w:rFonts w:ascii="Georgia" w:cs="Georgia" w:eastAsia="Georgia" w:hAnsi="Georgia"/>
          <w:b w:val="false"/>
          <w:bCs w:val="false"/>
          <w:i w:val="false"/>
          <w:iCs w:val="false"/>
          <w:color w:val="1C2833"/>
          <w:sz w:val="22"/>
          <w:szCs w:val="22"/>
        </w:rPr>
        <w:t xml:space="preserve">Title: Does Long-Term Care Insurance Cover Memory Care? What to Check in Your Policy</w:t>
      </w:r>
    </w:p>
    <w:p>
      <w:pPr>
        <w:spacing w:before="0" w:after="100"/>
        <w:ind w:left="360"/>
      </w:pPr>
      <w:r>
        <w:rPr>
          <w:rFonts w:ascii="Georgia" w:cs="Georgia" w:eastAsia="Georgia" w:hAnsi="Georgia"/>
          <w:i/>
          <w:iCs/>
          <w:color w:val="5D6D7E"/>
          <w:sz w:val="20"/>
          <w:szCs w:val="20"/>
        </w:rPr>
        <w:t xml:space="preserve">KW: long-term care insurance memory care | Targets a specific, high-intent question. Many policyholders don't know how to activate their coverage.</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/guides/va-benefits-memory-care</w:t>
      </w:r>
    </w:p>
    <w:p>
      <w:pPr>
        <w:spacing w:before="0" w:after="140"/>
        <w:jc w:val="both"/>
      </w:pPr>
      <w:r>
        <w:rPr>
          <w:rFonts w:ascii="Georgia" w:cs="Georgia" w:eastAsia="Georgia" w:hAnsi="Georgia"/>
          <w:b w:val="false"/>
          <w:bCs w:val="false"/>
          <w:i w:val="false"/>
          <w:iCs w:val="false"/>
          <w:color w:val="1C2833"/>
          <w:sz w:val="22"/>
          <w:szCs w:val="22"/>
        </w:rPr>
        <w:t xml:space="preserve">Title: VA Benefits for Memory Care: How Veterans Can Access Aid &amp; Attendance</w:t>
      </w:r>
    </w:p>
    <w:p>
      <w:pPr>
        <w:spacing w:before="0" w:after="100"/>
        <w:ind w:left="360"/>
      </w:pPr>
      <w:r>
        <w:rPr>
          <w:rFonts w:ascii="Georgia" w:cs="Georgia" w:eastAsia="Georgia" w:hAnsi="Georgia"/>
          <w:i/>
          <w:iCs/>
          <w:color w:val="5D6D7E"/>
          <w:sz w:val="20"/>
          <w:szCs w:val="20"/>
        </w:rPr>
        <w:t xml:space="preserve">KW: VA benefits memory care, Aid and Attendance benefit | Enormous underserved audience. Veterans and their spouses are eligible for up to $2,727/mo. Most don't know.</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/guides/medicaid-memory-care-eligibility</w:t>
      </w:r>
    </w:p>
    <w:p>
      <w:pPr>
        <w:spacing w:before="0" w:after="140"/>
        <w:jc w:val="both"/>
      </w:pPr>
      <w:r>
        <w:rPr>
          <w:rFonts w:ascii="Georgia" w:cs="Georgia" w:eastAsia="Georgia" w:hAnsi="Georgia"/>
          <w:b w:val="false"/>
          <w:bCs w:val="false"/>
          <w:i w:val="false"/>
          <w:iCs w:val="false"/>
          <w:color w:val="1C2833"/>
          <w:sz w:val="22"/>
          <w:szCs w:val="22"/>
        </w:rPr>
        <w:t xml:space="preserve">Title: Medicaid and Memory Care: Eligibility, Spend-Down, and What Families Need to Know</w:t>
      </w:r>
    </w:p>
    <w:p>
      <w:pPr>
        <w:spacing w:before="0" w:after="100"/>
        <w:ind w:left="360"/>
      </w:pPr>
      <w:r>
        <w:rPr>
          <w:rFonts w:ascii="Georgia" w:cs="Georgia" w:eastAsia="Georgia" w:hAnsi="Georgia"/>
          <w:i/>
          <w:iCs/>
          <w:color w:val="5D6D7E"/>
          <w:sz w:val="20"/>
          <w:szCs w:val="20"/>
        </w:rPr>
        <w:t xml:space="preserve">KW: Medicaid memory care, memory care Medicaid coverage | High volume, complex topic, huge trust-building opportunity</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/guides/memory-care-tax-deductions</w:t>
      </w:r>
    </w:p>
    <w:p>
      <w:pPr>
        <w:spacing w:before="0" w:after="140"/>
        <w:jc w:val="both"/>
      </w:pPr>
      <w:r>
        <w:rPr>
          <w:rFonts w:ascii="Georgia" w:cs="Georgia" w:eastAsia="Georgia" w:hAnsi="Georgia"/>
          <w:b w:val="false"/>
          <w:bCs w:val="false"/>
          <w:i w:val="false"/>
          <w:iCs w:val="false"/>
          <w:color w:val="1C2833"/>
          <w:sz w:val="22"/>
          <w:szCs w:val="22"/>
        </w:rPr>
        <w:t xml:space="preserve">Title: Is Memory Care Tax Deductible? What Families Can and Can't Deduct</w:t>
      </w:r>
    </w:p>
    <w:p>
      <w:pPr>
        <w:spacing w:before="0" w:after="100"/>
        <w:ind w:left="360"/>
      </w:pPr>
      <w:r>
        <w:rPr>
          <w:rFonts w:ascii="Georgia" w:cs="Georgia" w:eastAsia="Georgia" w:hAnsi="Georgia"/>
          <w:i/>
          <w:iCs/>
          <w:color w:val="5D6D7E"/>
          <w:sz w:val="20"/>
          <w:szCs w:val="20"/>
        </w:rPr>
        <w:t xml:space="preserve">KW: memory care tax deductible | Surprisingly high search volume. Simple, definitive answer drives featured snippet capture.</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Content Pillar 2: Making the Decision</w:t>
      </w:r>
    </w:p>
    <w:p>
      <w:pPr>
        <w:spacing w:before="0" w:after="140"/>
        <w:jc w:val="both"/>
      </w:pPr>
      <w:r>
        <w:rPr>
          <w:rFonts w:ascii="Georgia" w:cs="Georgia" w:eastAsia="Georgia" w:hAnsi="Georgia"/>
          <w:b w:val="false"/>
          <w:bCs w:val="false"/>
          <w:i w:val="false"/>
          <w:iCs w:val="false"/>
          <w:color w:val="1C2833"/>
          <w:sz w:val="22"/>
          <w:szCs w:val="22"/>
        </w:rPr>
        <w:t xml:space="preserve">The second-highest-traffic cluster. These articles serve families in Stage 1 and Stage 2 of the journey — either recognizing a problem exists or actively trying to understand their options. Content here should answer the question the family is asking before they know the right question to ask.</w:t>
      </w:r>
    </w:p>
    <w:p>
      <w:pPr>
        <w:spacing w:before="0" w:after="80"/>
      </w:pPr>
      <w:r>
        <w:t xml:space="preserve"/>
      </w:r>
    </w:p>
    <w:p>
      <w:pPr>
        <w:spacing w:before="320" w:after="60"/>
      </w:pPr>
      <w:r>
        <w:rPr>
          <w:rFonts w:ascii="Arial" w:cs="Arial" w:eastAsia="Arial" w:hAnsi="Arial"/>
          <w:b/>
          <w:bCs/>
          <w:color w:val="0E7C86"/>
          <w:spacing w:val="40"/>
          <w:sz w:val="16"/>
          <w:szCs w:val="16"/>
        </w:rPr>
        <w:t xml:space="preserve">PILLAR GUIDES</w:t>
      </w:r>
    </w:p>
    <w:p>
      <w:pPr>
        <w:pStyle w:val="Heading3"/>
        <w:spacing w:before="280" w:after="100"/>
      </w:pPr>
      <w:r>
        <w:rPr>
          <w:rFonts w:ascii="Georgia" w:cs="Georgia" w:eastAsia="Georgia" w:hAnsi="Georgia"/>
          <w:b/>
          <w:bCs/>
          <w:color w:val="0E7C86"/>
          <w:sz w:val="22"/>
          <w:szCs w:val="22"/>
        </w:rPr>
        <w:t xml:space="preserve">/guides/signs-its-time-for-memory-care</w:t>
      </w:r>
    </w:p>
    <w:p>
      <w:pPr>
        <w:spacing w:before="0" w:after="140"/>
        <w:jc w:val="both"/>
      </w:pPr>
      <w:r>
        <w:rPr>
          <w:rFonts w:ascii="Georgia" w:cs="Georgia" w:eastAsia="Georgia" w:hAnsi="Georgia"/>
          <w:b w:val="false"/>
          <w:bCs w:val="false"/>
          <w:i w:val="false"/>
          <w:iCs w:val="false"/>
          <w:color w:val="1C2833"/>
          <w:sz w:val="22"/>
          <w:szCs w:val="22"/>
        </w:rPr>
        <w:t xml:space="preserve">Title: 12 Signs It May Be Time for Memory Care — and How to Know When You've Reached Them</w:t>
      </w:r>
    </w:p>
    <w:p>
      <w:pPr>
        <w:spacing w:before="0" w:after="140"/>
        <w:jc w:val="both"/>
      </w:pPr>
      <w:r>
        <w:rPr>
          <w:rFonts w:ascii="Georgia" w:cs="Georgia" w:eastAsia="Georgia" w:hAnsi="Georgia"/>
          <w:b w:val="false"/>
          <w:bCs w:val="false"/>
          <w:i w:val="false"/>
          <w:iCs w:val="false"/>
          <w:color w:val="1C2833"/>
          <w:sz w:val="22"/>
          <w:szCs w:val="22"/>
        </w:rPr>
        <w:t xml:space="preserve">Why it ranks: This is the highest-volume awareness-stage query in the category. 'When is it time for memory care' and 'signs parent needs memory care' have massive search volumes because this is the hardest decision families face.</w:t>
      </w:r>
    </w:p>
    <w:p>
      <w:pPr>
        <w:spacing w:before="0" w:after="140"/>
        <w:jc w:val="both"/>
      </w:pPr>
      <w:r>
        <w:rPr>
          <w:rFonts w:ascii="Georgia" w:cs="Georgia" w:eastAsia="Georgia" w:hAnsi="Georgia"/>
          <w:b w:val="false"/>
          <w:bCs w:val="false"/>
          <w:i w:val="false"/>
          <w:iCs w:val="false"/>
          <w:color w:val="1C2833"/>
          <w:sz w:val="22"/>
          <w:szCs w:val="22"/>
        </w:rPr>
        <w:t xml:space="preserve">Covers: The clinical signs that indicate home care is no longer safe. Wandering, medication non-compliance, caregiver burnout, hygiene decline, weight loss. The difference between manageable at home and genuinely unsafe. How to have the conversation with a resistant family member. How to handle guilt. What professionals to consult.</w:t>
      </w:r>
    </w:p>
    <w:p>
      <w:pPr>
        <w:spacing w:before="0" w:after="100"/>
        <w:ind w:left="360"/>
      </w:pPr>
      <w:r>
        <w:rPr>
          <w:rFonts w:ascii="Georgia" w:cs="Georgia" w:eastAsia="Georgia" w:hAnsi="Georgia"/>
          <w:i/>
          <w:iCs/>
          <w:color w:val="5D6D7E"/>
          <w:sz w:val="20"/>
          <w:szCs w:val="20"/>
        </w:rPr>
        <w:t xml:space="preserve">This page has the highest potential for social sharing and backlinks of any article in the strategy — it speaks to a universal and painful moment</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/guides/how-to-choose-memory-care</w:t>
      </w:r>
    </w:p>
    <w:p>
      <w:pPr>
        <w:spacing w:before="0" w:after="140"/>
        <w:jc w:val="both"/>
      </w:pPr>
      <w:r>
        <w:rPr>
          <w:rFonts w:ascii="Georgia" w:cs="Georgia" w:eastAsia="Georgia" w:hAnsi="Georgia"/>
          <w:b w:val="false"/>
          <w:bCs w:val="false"/>
          <w:i w:val="false"/>
          <w:iCs w:val="false"/>
          <w:color w:val="1C2833"/>
          <w:sz w:val="22"/>
          <w:szCs w:val="22"/>
        </w:rPr>
        <w:t xml:space="preserve">Title: How to Choose a Memory Care Community: A Room-by-Room, Question-by-Question Guide</w:t>
      </w:r>
    </w:p>
    <w:p>
      <w:pPr>
        <w:spacing w:before="0" w:after="140"/>
        <w:jc w:val="both"/>
      </w:pPr>
      <w:r>
        <w:rPr>
          <w:rFonts w:ascii="Georgia" w:cs="Georgia" w:eastAsia="Georgia" w:hAnsi="Georgia"/>
          <w:b w:val="false"/>
          <w:bCs w:val="false"/>
          <w:i w:val="false"/>
          <w:iCs w:val="false"/>
          <w:color w:val="1C2833"/>
          <w:sz w:val="22"/>
          <w:szCs w:val="22"/>
        </w:rPr>
        <w:t xml:space="preserve">Why it ranks: Families actively comparing facilities need exactly this. It also positions SilverTech's directory as the tool to execute the guide's advice.</w:t>
      </w:r>
    </w:p>
    <w:p>
      <w:pPr>
        <w:spacing w:before="0" w:after="140"/>
        <w:jc w:val="both"/>
      </w:pPr>
      <w:r>
        <w:rPr>
          <w:rFonts w:ascii="Georgia" w:cs="Georgia" w:eastAsia="Georgia" w:hAnsi="Georgia"/>
          <w:b w:val="false"/>
          <w:bCs w:val="false"/>
          <w:i w:val="false"/>
          <w:iCs w:val="false"/>
          <w:color w:val="1C2833"/>
          <w:sz w:val="22"/>
          <w:szCs w:val="22"/>
        </w:rPr>
        <w:t xml:space="preserve">Covers: What to look for on a tour (staff-to-resident ratio, secured outdoor space, how staff interact with current residents, smell and cleanliness, activity programming, turnover rate). Questions to ask about emergency protocols. How to read the inspection reports. How to compare facilities with different care level structures. Red flags that should end a tour early.</w:t>
      </w:r>
    </w:p>
    <w:p>
      <w:pPr>
        <w:spacing w:before="0" w:after="100"/>
        <w:ind w:left="360"/>
      </w:pPr>
      <w:r>
        <w:rPr>
          <w:rFonts w:ascii="Georgia" w:cs="Georgia" w:eastAsia="Georgia" w:hAnsi="Georgia"/>
          <w:i/>
          <w:iCs/>
          <w:color w:val="5D6D7E"/>
          <w:sz w:val="20"/>
          <w:szCs w:val="20"/>
        </w:rPr>
        <w:t xml:space="preserve">Strong CTA to directory: 'Use SilverTech to compare facilities in your area side by side'</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/guides/how-to-talk-to-parent-about-memory-care</w:t>
      </w:r>
    </w:p>
    <w:p>
      <w:pPr>
        <w:spacing w:before="0" w:after="140"/>
        <w:jc w:val="both"/>
      </w:pPr>
      <w:r>
        <w:rPr>
          <w:rFonts w:ascii="Georgia" w:cs="Georgia" w:eastAsia="Georgia" w:hAnsi="Georgia"/>
          <w:b w:val="false"/>
          <w:bCs w:val="false"/>
          <w:i w:val="false"/>
          <w:iCs w:val="false"/>
          <w:color w:val="1C2833"/>
          <w:sz w:val="22"/>
          <w:szCs w:val="22"/>
        </w:rPr>
        <w:t xml:space="preserve">Title: How to Talk to a Parent About Memory Care When They're Resistant</w:t>
      </w:r>
    </w:p>
    <w:p>
      <w:pPr>
        <w:spacing w:before="0" w:after="140"/>
        <w:jc w:val="both"/>
      </w:pPr>
      <w:r>
        <w:rPr>
          <w:rFonts w:ascii="Georgia" w:cs="Georgia" w:eastAsia="Georgia" w:hAnsi="Georgia"/>
          <w:b w:val="false"/>
          <w:bCs w:val="false"/>
          <w:i w:val="false"/>
          <w:iCs w:val="false"/>
          <w:color w:val="1C2833"/>
          <w:sz w:val="22"/>
          <w:szCs w:val="22"/>
        </w:rPr>
        <w:t xml:space="preserve">Why it ranks: Enormous emotional-search volume. Families know the placement needs to happen but don't know how to have the conversation. This is underserved by competitors.</w:t>
      </w:r>
    </w:p>
    <w:p>
      <w:pPr>
        <w:spacing w:before="0" w:after="140"/>
        <w:jc w:val="both"/>
      </w:pPr>
      <w:r>
        <w:rPr>
          <w:rFonts w:ascii="Georgia" w:cs="Georgia" w:eastAsia="Georgia" w:hAnsi="Georgia"/>
          <w:b w:val="false"/>
          <w:bCs w:val="false"/>
          <w:i w:val="false"/>
          <w:iCs w:val="false"/>
          <w:color w:val="1C2833"/>
          <w:sz w:val="22"/>
          <w:szCs w:val="22"/>
        </w:rPr>
        <w:t xml:space="preserve">Covers: Why resistance is a symptom of the disease (not stubbornness). When to involve a doctor. Scripts for different resistance patterns. How to make the transition feel less like banishment. The role of a geriatric care manager. When to stop trying to convince and start making safety decisions.</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/guides/stages-of-dementia-and-care-needs</w:t>
      </w:r>
    </w:p>
    <w:p>
      <w:pPr>
        <w:spacing w:before="0" w:after="140"/>
        <w:jc w:val="both"/>
      </w:pPr>
      <w:r>
        <w:rPr>
          <w:rFonts w:ascii="Georgia" w:cs="Georgia" w:eastAsia="Georgia" w:hAnsi="Georgia"/>
          <w:b w:val="false"/>
          <w:bCs w:val="false"/>
          <w:i w:val="false"/>
          <w:iCs w:val="false"/>
          <w:color w:val="1C2833"/>
          <w:sz w:val="22"/>
          <w:szCs w:val="22"/>
        </w:rPr>
        <w:t xml:space="preserve">Title: The 7 Stages of Dementia: What Each Stage Means for Care and Placement</w:t>
      </w:r>
    </w:p>
    <w:p>
      <w:pPr>
        <w:spacing w:before="0" w:after="140"/>
        <w:jc w:val="both"/>
      </w:pPr>
      <w:r>
        <w:rPr>
          <w:rFonts w:ascii="Georgia" w:cs="Georgia" w:eastAsia="Georgia" w:hAnsi="Georgia"/>
          <w:b w:val="false"/>
          <w:bCs w:val="false"/>
          <w:i w:val="false"/>
          <w:iCs w:val="false"/>
          <w:color w:val="1C2833"/>
          <w:sz w:val="22"/>
          <w:szCs w:val="22"/>
        </w:rPr>
        <w:t xml:space="preserve">Why it ranks: 'stages of dementia' is one of the most-searched terms in the category, period. Most pages covering it are clinical. SilverTech's version explicitly bridges from 'what stage is my parent in' to 'what does this mean for their care needs' — which is what families actually need to know.</w:t>
      </w:r>
    </w:p>
    <w:p>
      <w:pPr>
        <w:spacing w:before="0" w:after="140"/>
        <w:jc w:val="both"/>
      </w:pPr>
      <w:r>
        <w:rPr>
          <w:rFonts w:ascii="Georgia" w:cs="Georgia" w:eastAsia="Georgia" w:hAnsi="Georgia"/>
          <w:b w:val="false"/>
          <w:bCs w:val="false"/>
          <w:i w:val="false"/>
          <w:iCs w:val="false"/>
          <w:color w:val="1C2833"/>
          <w:sz w:val="22"/>
          <w:szCs w:val="22"/>
        </w:rPr>
        <w:t xml:space="preserve">Covers: The 7-stage (GDS) framework. What each stage looks like behaviorally. What level of care is appropriate at each stage. At what stage home care typically becomes insufficient. At what stage memory care typically becomes insufficient and skilled nursing is needed.</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/guides/dementia-care-at-home-vs-memory-care</w:t>
      </w:r>
    </w:p>
    <w:p>
      <w:pPr>
        <w:spacing w:before="0" w:after="140"/>
        <w:jc w:val="both"/>
      </w:pPr>
      <w:r>
        <w:rPr>
          <w:rFonts w:ascii="Georgia" w:cs="Georgia" w:eastAsia="Georgia" w:hAnsi="Georgia"/>
          <w:b w:val="false"/>
          <w:bCs w:val="false"/>
          <w:i w:val="false"/>
          <w:iCs w:val="false"/>
          <w:color w:val="1C2833"/>
          <w:sz w:val="22"/>
          <w:szCs w:val="22"/>
        </w:rPr>
        <w:t xml:space="preserve">Title: Caring for Someone with Dementia at Home vs. Memory Care: An Honest Comparison</w:t>
      </w:r>
    </w:p>
    <w:p>
      <w:pPr>
        <w:spacing w:before="0" w:after="140"/>
        <w:jc w:val="both"/>
      </w:pPr>
      <w:r>
        <w:rPr>
          <w:rFonts w:ascii="Georgia" w:cs="Georgia" w:eastAsia="Georgia" w:hAnsi="Georgia"/>
          <w:b w:val="false"/>
          <w:bCs w:val="false"/>
          <w:i w:val="false"/>
          <w:iCs w:val="false"/>
          <w:color w:val="1C2833"/>
          <w:sz w:val="22"/>
          <w:szCs w:val="22"/>
        </w:rPr>
        <w:t xml:space="preserve">Why it ranks: Captures families who aren't sure if they're 'there yet.' Validates the difficulty of home care without shaming families who are struggling with it.</w:t>
      </w:r>
    </w:p>
    <w:p>
      <w:pPr>
        <w:spacing w:before="0" w:after="140"/>
        <w:jc w:val="both"/>
      </w:pPr>
      <w:r>
        <w:rPr>
          <w:rFonts w:ascii="Georgia" w:cs="Georgia" w:eastAsia="Georgia" w:hAnsi="Georgia"/>
          <w:b w:val="false"/>
          <w:bCs w:val="false"/>
          <w:i w:val="false"/>
          <w:iCs w:val="false"/>
          <w:color w:val="1C2833"/>
          <w:sz w:val="22"/>
          <w:szCs w:val="22"/>
        </w:rPr>
        <w:t xml:space="preserve">Covers: The true cost of home care (in-home aide hours, home modifications, family caregiver lost income). Safety risks at each dementia stage. Caregiver burnout statistics and what burnout actually looks like. The tipping point question: 'at what point does love require letting professionals help?' Decision framework.</w:t>
      </w:r>
    </w:p>
    <w:p>
      <w:pPr>
        <w:spacing w:before="0" w:after="80"/>
      </w:pPr>
      <w:r>
        <w:t xml:space="preserve"/>
      </w:r>
    </w:p>
    <w:p>
      <w:pPr>
        <w:spacing w:before="320" w:after="60"/>
      </w:pPr>
      <w:r>
        <w:rPr>
          <w:rFonts w:ascii="Arial" w:cs="Arial" w:eastAsia="Arial" w:hAnsi="Arial"/>
          <w:b/>
          <w:bCs/>
          <w:color w:val="0E7C86"/>
          <w:spacing w:val="40"/>
          <w:sz w:val="16"/>
          <w:szCs w:val="16"/>
        </w:rPr>
        <w:t xml:space="preserve">SUPPORTING ARTICLES</w:t>
      </w:r>
    </w:p>
    <w:p>
      <w:pPr>
        <w:pStyle w:val="Heading3"/>
        <w:spacing w:before="280" w:after="100"/>
      </w:pPr>
      <w:r>
        <w:rPr>
          <w:rFonts w:ascii="Georgia" w:cs="Georgia" w:eastAsia="Georgia" w:hAnsi="Georgia"/>
          <w:b/>
          <w:bCs/>
          <w:color w:val="0E7C86"/>
          <w:sz w:val="22"/>
          <w:szCs w:val="22"/>
        </w:rPr>
        <w:t xml:space="preserve">/guides/geriatric-care-manager-what-they-do</w:t>
      </w:r>
    </w:p>
    <w:p>
      <w:pPr>
        <w:spacing w:before="0" w:after="100"/>
        <w:ind w:left="360"/>
      </w:pPr>
      <w:r>
        <w:rPr>
          <w:rFonts w:ascii="Georgia" w:cs="Georgia" w:eastAsia="Georgia" w:hAnsi="Georgia"/>
          <w:i/>
          <w:iCs/>
          <w:color w:val="5D6D7E"/>
          <w:sz w:val="20"/>
          <w:szCs w:val="20"/>
        </w:rPr>
        <w:t xml:space="preserve">Underserved topic. Families who hire a GCM convert to placement faster. SilverTech should own this.</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/guides/memory-care-vs-board-and-care-home</w:t>
      </w:r>
    </w:p>
    <w:p>
      <w:pPr>
        <w:spacing w:before="0" w:after="100"/>
        <w:ind w:left="360"/>
      </w:pPr>
      <w:r>
        <w:rPr>
          <w:rFonts w:ascii="Georgia" w:cs="Georgia" w:eastAsia="Georgia" w:hAnsi="Georgia"/>
          <w:i/>
          <w:iCs/>
          <w:color w:val="5D6D7E"/>
          <w:sz w:val="20"/>
          <w:szCs w:val="20"/>
        </w:rPr>
        <w:t xml:space="preserve">Board-and-care / RCFE homes are a real alternative in CA, FL, AZ. Low competition, decent volume.</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/guides/respite-care-memory-care</w:t>
      </w:r>
    </w:p>
    <w:p>
      <w:pPr>
        <w:spacing w:before="0" w:after="100"/>
        <w:ind w:left="360"/>
      </w:pPr>
      <w:r>
        <w:rPr>
          <w:rFonts w:ascii="Georgia" w:cs="Georgia" w:eastAsia="Georgia" w:hAnsi="Georgia"/>
          <w:i/>
          <w:iCs/>
          <w:color w:val="5D6D7E"/>
          <w:sz w:val="20"/>
          <w:szCs w:val="20"/>
        </w:rPr>
        <w:t xml:space="preserve">'Respite care' is its own high-volume query. Many families use respite as a trial placement.</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/guides/moving-parent-with-dementia</w:t>
      </w:r>
    </w:p>
    <w:p>
      <w:pPr>
        <w:spacing w:before="0" w:after="100"/>
        <w:ind w:left="360"/>
      </w:pPr>
      <w:r>
        <w:rPr>
          <w:rFonts w:ascii="Georgia" w:cs="Georgia" w:eastAsia="Georgia" w:hAnsi="Georgia"/>
          <w:i/>
          <w:iCs/>
          <w:color w:val="5D6D7E"/>
          <w:sz w:val="20"/>
          <w:szCs w:val="20"/>
        </w:rPr>
        <w:t xml:space="preserve">Practical logistics content — high search volume, almost no quality competition.</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/guides/memory-care-contracts-what-to-know</w:t>
      </w:r>
    </w:p>
    <w:p>
      <w:pPr>
        <w:spacing w:before="0" w:after="100"/>
        <w:ind w:left="360"/>
      </w:pPr>
      <w:r>
        <w:rPr>
          <w:rFonts w:ascii="Georgia" w:cs="Georgia" w:eastAsia="Georgia" w:hAnsi="Georgia"/>
          <w:i/>
          <w:iCs/>
          <w:color w:val="5D6D7E"/>
          <w:sz w:val="20"/>
          <w:szCs w:val="20"/>
        </w:rPr>
        <w:t xml:space="preserve">Logical next step after the hidden costs pillar page.</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Content Pillar 3: Caregiver Support &amp; Wellbeing</w:t>
      </w:r>
    </w:p>
    <w:p>
      <w:pPr>
        <w:spacing w:before="0" w:after="140"/>
        <w:jc w:val="both"/>
      </w:pPr>
      <w:r>
        <w:rPr>
          <w:rFonts w:ascii="Georgia" w:cs="Georgia" w:eastAsia="Georgia" w:hAnsi="Georgia"/>
          <w:b w:val="false"/>
          <w:bCs w:val="false"/>
          <w:i w:val="false"/>
          <w:iCs w:val="false"/>
          <w:color w:val="1C2833"/>
          <w:sz w:val="22"/>
          <w:szCs w:val="22"/>
        </w:rPr>
        <w:t xml:space="preserve">This cluster is often overlooked by senior care directories because it doesn't appear to have direct conversion value. That's wrong. Caregiver-focused content has high social sharing and backlink potential, builds brand loyalty and return visits, and the family caregiver IS the decision-maker for placement. The person researching memory care options is almost always a caregiver themselves.</w:t>
      </w:r>
    </w:p>
    <w:p>
      <w:pPr>
        <w:spacing w:before="0" w:after="80"/>
      </w:pPr>
      <w:r>
        <w:t xml:space="preserve"/>
      </w:r>
    </w:p>
    <w:p>
      <w:pPr>
        <w:spacing w:before="320" w:after="60"/>
      </w:pPr>
      <w:r>
        <w:rPr>
          <w:rFonts w:ascii="Arial" w:cs="Arial" w:eastAsia="Arial" w:hAnsi="Arial"/>
          <w:b/>
          <w:bCs/>
          <w:color w:val="0E7C86"/>
          <w:spacing w:val="40"/>
          <w:sz w:val="16"/>
          <w:szCs w:val="16"/>
        </w:rPr>
        <w:t xml:space="preserve">PILLAR GUIDES</w:t>
      </w:r>
    </w:p>
    <w:p>
      <w:pPr>
        <w:pStyle w:val="Heading3"/>
        <w:spacing w:before="280" w:after="100"/>
      </w:pPr>
      <w:r>
        <w:rPr>
          <w:rFonts w:ascii="Georgia" w:cs="Georgia" w:eastAsia="Georgia" w:hAnsi="Georgia"/>
          <w:b/>
          <w:bCs/>
          <w:color w:val="0E7C86"/>
          <w:sz w:val="22"/>
          <w:szCs w:val="22"/>
        </w:rPr>
        <w:t xml:space="preserve">/guides/caregiver-burnout</w:t>
      </w:r>
    </w:p>
    <w:p>
      <w:pPr>
        <w:spacing w:before="0" w:after="140"/>
        <w:jc w:val="both"/>
      </w:pPr>
      <w:r>
        <w:rPr>
          <w:rFonts w:ascii="Georgia" w:cs="Georgia" w:eastAsia="Georgia" w:hAnsi="Georgia"/>
          <w:b w:val="false"/>
          <w:bCs w:val="false"/>
          <w:i w:val="false"/>
          <w:iCs w:val="false"/>
          <w:color w:val="1C2833"/>
          <w:sz w:val="22"/>
          <w:szCs w:val="22"/>
        </w:rPr>
        <w:t xml:space="preserve">Title: Caregiver Burnout: What It Is, What It Feels Like, and What to Do About It</w:t>
      </w:r>
    </w:p>
    <w:p>
      <w:pPr>
        <w:spacing w:before="0" w:after="140"/>
        <w:jc w:val="both"/>
      </w:pPr>
      <w:r>
        <w:rPr>
          <w:rFonts w:ascii="Georgia" w:cs="Georgia" w:eastAsia="Georgia" w:hAnsi="Georgia"/>
          <w:b w:val="false"/>
          <w:bCs w:val="false"/>
          <w:i w:val="false"/>
          <w:iCs w:val="false"/>
          <w:color w:val="1C2833"/>
          <w:sz w:val="22"/>
          <w:szCs w:val="22"/>
        </w:rPr>
        <w:t xml:space="preserve">Why it ranks: 'caregiver burnout' is high volume, high emotion, and massively underserved with quality content. This page will earn backlinks from mental health sites, elder care nonprofits, and news outlets.</w:t>
      </w:r>
    </w:p>
    <w:p>
      <w:pPr>
        <w:spacing w:before="0" w:after="140"/>
        <w:jc w:val="both"/>
      </w:pPr>
      <w:r>
        <w:rPr>
          <w:rFonts w:ascii="Georgia" w:cs="Georgia" w:eastAsia="Georgia" w:hAnsi="Georgia"/>
          <w:b w:val="false"/>
          <w:bCs w:val="false"/>
          <w:i w:val="false"/>
          <w:iCs w:val="false"/>
          <w:color w:val="1C2833"/>
          <w:sz w:val="22"/>
          <w:szCs w:val="22"/>
        </w:rPr>
        <w:t xml:space="preserve">Covers: Clinical definition vs. colloquial understanding. The 10 warning signs caregivers miss because they're too exhausted to notice. Physical health consequences of prolonged caregiver stress. The guilt dynamic and why it keeps people in burnout. Practical exits: respite care, adult day programs, home health aides, placement. Mental health resources.</w:t>
      </w:r>
    </w:p>
    <w:p>
      <w:pPr>
        <w:spacing w:before="0" w:after="100"/>
        <w:ind w:left="360"/>
      </w:pPr>
      <w:r>
        <w:rPr>
          <w:rFonts w:ascii="Georgia" w:cs="Georgia" w:eastAsia="Georgia" w:hAnsi="Georgia"/>
          <w:i/>
          <w:iCs/>
          <w:color w:val="5D6D7E"/>
          <w:sz w:val="20"/>
          <w:szCs w:val="20"/>
        </w:rPr>
        <w:t xml:space="preserve">This page is a backlink magnet. A single link from AARP or Alzheimer's Association is worth 50 average-quality links.</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/guides/supporting-a-parent-with-dementia</w:t>
      </w:r>
    </w:p>
    <w:p>
      <w:pPr>
        <w:spacing w:before="0" w:after="140"/>
        <w:jc w:val="both"/>
      </w:pPr>
      <w:r>
        <w:rPr>
          <w:rFonts w:ascii="Georgia" w:cs="Georgia" w:eastAsia="Georgia" w:hAnsi="Georgia"/>
          <w:b w:val="false"/>
          <w:bCs w:val="false"/>
          <w:i w:val="false"/>
          <w:iCs w:val="false"/>
          <w:color w:val="1C2833"/>
          <w:sz w:val="22"/>
          <w:szCs w:val="22"/>
        </w:rPr>
        <w:t xml:space="preserve">Title: What No One Tells You About Supporting a Parent with Dementia</w:t>
      </w:r>
    </w:p>
    <w:p>
      <w:pPr>
        <w:spacing w:before="0" w:after="140"/>
        <w:jc w:val="both"/>
      </w:pPr>
      <w:r>
        <w:rPr>
          <w:rFonts w:ascii="Georgia" w:cs="Georgia" w:eastAsia="Georgia" w:hAnsi="Georgia"/>
          <w:b w:val="false"/>
          <w:bCs w:val="false"/>
          <w:i w:val="false"/>
          <w:iCs w:val="false"/>
          <w:color w:val="1C2833"/>
          <w:sz w:val="22"/>
          <w:szCs w:val="22"/>
        </w:rPr>
        <w:t xml:space="preserve">Why it ranks: High emotional search volume. Conversational title performs well in discovery search and social sharing.</w:t>
      </w:r>
    </w:p>
    <w:p>
      <w:pPr>
        <w:spacing w:before="0" w:after="140"/>
        <w:jc w:val="both"/>
      </w:pPr>
      <w:r>
        <w:rPr>
          <w:rFonts w:ascii="Georgia" w:cs="Georgia" w:eastAsia="Georgia" w:hAnsi="Georgia"/>
          <w:b w:val="false"/>
          <w:bCs w:val="false"/>
          <w:i w:val="false"/>
          <w:iCs w:val="false"/>
          <w:color w:val="1C2833"/>
          <w:sz w:val="22"/>
          <w:szCs w:val="22"/>
        </w:rPr>
        <w:t xml:space="preserve">Covers: The grief of anticipatory loss. Managing sibling disagreements about care decisions. How to maintain connection with someone who no longer recognizes you. The personality changes that are hardest to accept. Setting boundaries without guilt. How to talk to children about a grandparent's dementia.</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/guides/long-distance-caregiver</w:t>
      </w:r>
    </w:p>
    <w:p>
      <w:pPr>
        <w:spacing w:before="0" w:after="140"/>
        <w:jc w:val="both"/>
      </w:pPr>
      <w:r>
        <w:rPr>
          <w:rFonts w:ascii="Georgia" w:cs="Georgia" w:eastAsia="Georgia" w:hAnsi="Georgia"/>
          <w:b w:val="false"/>
          <w:bCs w:val="false"/>
          <w:i w:val="false"/>
          <w:iCs w:val="false"/>
          <w:color w:val="1C2833"/>
          <w:sz w:val="22"/>
          <w:szCs w:val="22"/>
        </w:rPr>
        <w:t xml:space="preserve">Title: Long-Distance Caregiving: How to Manage a Parent's Dementia from Another State</w:t>
      </w:r>
    </w:p>
    <w:p>
      <w:pPr>
        <w:spacing w:before="0" w:after="140"/>
        <w:jc w:val="both"/>
      </w:pPr>
      <w:r>
        <w:rPr>
          <w:rFonts w:ascii="Georgia" w:cs="Georgia" w:eastAsia="Georgia" w:hAnsi="Georgia"/>
          <w:b w:val="false"/>
          <w:bCs w:val="false"/>
          <w:i w:val="false"/>
          <w:iCs w:val="false"/>
          <w:color w:val="1C2833"/>
          <w:sz w:val="22"/>
          <w:szCs w:val="22"/>
        </w:rPr>
        <w:t xml:space="preserve">Why it ranks: A specific, underserved situation that affects tens of millions of people. Adult children who don't live near their parent often have the hardest placement decisions and the most urgent need for a trusted resource.</w:t>
      </w:r>
    </w:p>
    <w:p>
      <w:pPr>
        <w:spacing w:before="0" w:after="140"/>
        <w:jc w:val="both"/>
      </w:pPr>
      <w:r>
        <w:rPr>
          <w:rFonts w:ascii="Georgia" w:cs="Georgia" w:eastAsia="Georgia" w:hAnsi="Georgia"/>
          <w:b w:val="false"/>
          <w:bCs w:val="false"/>
          <w:i w:val="false"/>
          <w:iCs w:val="false"/>
          <w:color w:val="1C2833"/>
          <w:sz w:val="22"/>
          <w:szCs w:val="22"/>
        </w:rPr>
        <w:t xml:space="preserve">Covers: How to assess the situation remotely. When to fly in. Building a local support team. Technology options (remote monitoring, medication management devices, video check-ins). When the situation has moved beyond remote management. How to coordinate placement from out of state.</w:t>
      </w:r>
    </w:p>
    <w:p>
      <w:pPr>
        <w:spacing w:before="0" w:after="80"/>
      </w:pPr>
      <w:r>
        <w:t xml:space="preserve"/>
      </w:r>
    </w:p>
    <w:p>
      <w:pPr>
        <w:spacing w:before="320" w:after="60"/>
      </w:pPr>
      <w:r>
        <w:rPr>
          <w:rFonts w:ascii="Arial" w:cs="Arial" w:eastAsia="Arial" w:hAnsi="Arial"/>
          <w:b/>
          <w:bCs/>
          <w:color w:val="0E7C86"/>
          <w:spacing w:val="40"/>
          <w:sz w:val="16"/>
          <w:szCs w:val="16"/>
        </w:rPr>
        <w:t xml:space="preserve">SUPPORTING ARTICLES</w:t>
      </w:r>
    </w:p>
    <w:p>
      <w:pPr>
        <w:pStyle w:val="Heading3"/>
        <w:spacing w:before="280" w:after="100"/>
      </w:pPr>
      <w:r>
        <w:rPr>
          <w:rFonts w:ascii="Georgia" w:cs="Georgia" w:eastAsia="Georgia" w:hAnsi="Georgia"/>
          <w:b/>
          <w:bCs/>
          <w:color w:val="0E7C86"/>
          <w:sz w:val="22"/>
          <w:szCs w:val="22"/>
        </w:rPr>
        <w:t xml:space="preserve">/guides/sibling-disagreements-memory-care</w:t>
      </w:r>
    </w:p>
    <w:p>
      <w:pPr>
        <w:spacing w:before="0" w:after="100"/>
        <w:ind w:left="360"/>
      </w:pPr>
      <w:r>
        <w:rPr>
          <w:rFonts w:ascii="Georgia" w:cs="Georgia" w:eastAsia="Georgia" w:hAnsi="Georgia"/>
          <w:i/>
          <w:iCs/>
          <w:color w:val="5D6D7E"/>
          <w:sz w:val="20"/>
          <w:szCs w:val="20"/>
        </w:rPr>
        <w:t xml:space="preserve">Very high search volume. Family conflict around placement is one of the most-searched topics.</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/guides/how-to-visit-memory-care</w:t>
      </w:r>
    </w:p>
    <w:p>
      <w:pPr>
        <w:spacing w:before="0" w:after="100"/>
        <w:ind w:left="360"/>
      </w:pPr>
      <w:r>
        <w:rPr>
          <w:rFonts w:ascii="Georgia" w:cs="Georgia" w:eastAsia="Georgia" w:hAnsi="Georgia"/>
          <w:i/>
          <w:iCs/>
          <w:color w:val="5D6D7E"/>
          <w:sz w:val="20"/>
          <w:szCs w:val="20"/>
        </w:rPr>
        <w:t xml:space="preserve">Practical, warm, widely shared. Families worry about visits being painful or counterproductive.</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/guides/dementia-communication-tips</w:t>
      </w:r>
    </w:p>
    <w:p>
      <w:pPr>
        <w:spacing w:before="0" w:after="100"/>
        <w:ind w:left="360"/>
      </w:pPr>
      <w:r>
        <w:rPr>
          <w:rFonts w:ascii="Georgia" w:cs="Georgia" w:eastAsia="Georgia" w:hAnsi="Georgia"/>
          <w:i/>
          <w:iCs/>
          <w:color w:val="5D6D7E"/>
          <w:sz w:val="20"/>
          <w:szCs w:val="20"/>
        </w:rPr>
        <w:t xml:space="preserve">How to talk to someone with dementia. Very high volume, strong backlink potential.</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/guides/grief-dementia-caregivers</w:t>
      </w:r>
    </w:p>
    <w:p>
      <w:pPr>
        <w:spacing w:before="0" w:after="100"/>
        <w:ind w:left="360"/>
      </w:pPr>
      <w:r>
        <w:rPr>
          <w:rFonts w:ascii="Georgia" w:cs="Georgia" w:eastAsia="Georgia" w:hAnsi="Georgia"/>
          <w:i/>
          <w:iCs/>
          <w:color w:val="5D6D7E"/>
          <w:sz w:val="20"/>
          <w:szCs w:val="20"/>
        </w:rPr>
        <w:t xml:space="preserve">Anticipatory grief is a real phenomenon. Almost no senior care sites address it. It's a relationship builder.</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Content Pillar 4: Understanding Care Types</w:t>
      </w:r>
    </w:p>
    <w:p>
      <w:pPr>
        <w:spacing w:before="0" w:after="140"/>
        <w:jc w:val="both"/>
      </w:pPr>
      <w:r>
        <w:rPr>
          <w:rFonts w:ascii="Georgia" w:cs="Georgia" w:eastAsia="Georgia" w:hAnsi="Georgia"/>
          <w:b w:val="false"/>
          <w:bCs w:val="false"/>
          <w:i w:val="false"/>
          <w:iCs w:val="false"/>
          <w:color w:val="1C2833"/>
          <w:sz w:val="22"/>
          <w:szCs w:val="22"/>
        </w:rPr>
        <w:t xml:space="preserve">Definitional and educational content that captures early-funnel searches and establishes SilverTech as the authoritative reference. These pages rank easily, age well, and feed both the comparison and decision pillars.</w:t>
      </w:r>
    </w:p>
    <w:p>
      <w:pPr>
        <w:spacing w:before="0" w:after="80"/>
      </w:pPr>
      <w:r>
        <w:t xml:space="preserve"/>
      </w:r>
    </w:p>
    <w:p>
      <w:pPr>
        <w:spacing w:before="320" w:after="60"/>
      </w:pPr>
      <w:r>
        <w:rPr>
          <w:rFonts w:ascii="Arial" w:cs="Arial" w:eastAsia="Arial" w:hAnsi="Arial"/>
          <w:b/>
          <w:bCs/>
          <w:color w:val="0E7C86"/>
          <w:spacing w:val="40"/>
          <w:sz w:val="16"/>
          <w:szCs w:val="16"/>
        </w:rPr>
        <w:t xml:space="preserve">PILLAR GUIDES</w:t>
      </w:r>
    </w:p>
    <w:p>
      <w:pPr>
        <w:pStyle w:val="Heading3"/>
        <w:spacing w:before="280" w:after="100"/>
      </w:pPr>
      <w:r>
        <w:rPr>
          <w:rFonts w:ascii="Georgia" w:cs="Georgia" w:eastAsia="Georgia" w:hAnsi="Georgia"/>
          <w:b/>
          <w:bCs/>
          <w:color w:val="0E7C86"/>
          <w:sz w:val="22"/>
          <w:szCs w:val="22"/>
        </w:rPr>
        <w:t xml:space="preserve">/guides/what-is-memory-care</w:t>
      </w:r>
    </w:p>
    <w:p>
      <w:pPr>
        <w:spacing w:before="0" w:after="140"/>
        <w:jc w:val="both"/>
      </w:pPr>
      <w:r>
        <w:rPr>
          <w:rFonts w:ascii="Georgia" w:cs="Georgia" w:eastAsia="Georgia" w:hAnsi="Georgia"/>
          <w:b w:val="false"/>
          <w:bCs w:val="false"/>
          <w:i w:val="false"/>
          <w:iCs w:val="false"/>
          <w:color w:val="1C2833"/>
          <w:sz w:val="22"/>
          <w:szCs w:val="22"/>
        </w:rPr>
        <w:t xml:space="preserve">Title: What Is Memory Care? A Plain-English Guide for Families</w:t>
      </w:r>
    </w:p>
    <w:p>
      <w:pPr>
        <w:spacing w:before="0" w:after="140"/>
        <w:jc w:val="both"/>
      </w:pPr>
      <w:r>
        <w:rPr>
          <w:rFonts w:ascii="Georgia" w:cs="Georgia" w:eastAsia="Georgia" w:hAnsi="Georgia"/>
          <w:b w:val="false"/>
          <w:bCs w:val="false"/>
          <w:i w:val="false"/>
          <w:iCs w:val="false"/>
          <w:color w:val="1C2833"/>
          <w:sz w:val="22"/>
          <w:szCs w:val="22"/>
        </w:rPr>
        <w:t xml:space="preserve">Why it ranks: 'What is memory care' is a foundational query with persistent high volume. This page is the entry point for every family just beginning to understand their options. It should be comprehensive and link to everything else.</w:t>
      </w:r>
    </w:p>
    <w:p>
      <w:pPr>
        <w:spacing w:before="0" w:after="140"/>
        <w:jc w:val="both"/>
      </w:pPr>
      <w:r>
        <w:rPr>
          <w:rFonts w:ascii="Georgia" w:cs="Georgia" w:eastAsia="Georgia" w:hAnsi="Georgia"/>
          <w:b w:val="false"/>
          <w:bCs w:val="false"/>
          <w:i w:val="false"/>
          <w:iCs w:val="false"/>
          <w:color w:val="1C2833"/>
          <w:sz w:val="22"/>
          <w:szCs w:val="22"/>
        </w:rPr>
        <w:t xml:space="preserve">Covers: Definition. How memory care differs from other senior living. Staffing model. Environment design for dementia (reduced stimulation, secured exits, wayfinding cues). Programming philosophy. Who is and isn't appropriate for memory care. Average length of stay. What happens when needs exceed memory care capacity.</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/guides/types-of-dementia-and-care-implications</w:t>
      </w:r>
    </w:p>
    <w:p>
      <w:pPr>
        <w:spacing w:before="0" w:after="140"/>
        <w:jc w:val="both"/>
      </w:pPr>
      <w:r>
        <w:rPr>
          <w:rFonts w:ascii="Georgia" w:cs="Georgia" w:eastAsia="Georgia" w:hAnsi="Georgia"/>
          <w:b w:val="false"/>
          <w:bCs w:val="false"/>
          <w:i w:val="false"/>
          <w:iCs w:val="false"/>
          <w:color w:val="1C2833"/>
          <w:sz w:val="22"/>
          <w:szCs w:val="22"/>
        </w:rPr>
        <w:t xml:space="preserve">Title: Types of Dementia: What Each Diagnosis Means for Care Planning</w:t>
      </w:r>
    </w:p>
    <w:p>
      <w:pPr>
        <w:spacing w:before="0" w:after="140"/>
        <w:jc w:val="both"/>
      </w:pPr>
      <w:r>
        <w:rPr>
          <w:rFonts w:ascii="Georgia" w:cs="Georgia" w:eastAsia="Georgia" w:hAnsi="Georgia"/>
          <w:b w:val="false"/>
          <w:bCs w:val="false"/>
          <w:i w:val="false"/>
          <w:iCs w:val="false"/>
          <w:color w:val="1C2833"/>
          <w:sz w:val="22"/>
          <w:szCs w:val="22"/>
        </w:rPr>
        <w:t xml:space="preserve">Why it ranks: Families who just received a diagnosis search for their specific type — Alzheimer's, Lewy body, vascular, frontotemporal. Most content about dementia types is clinical. SilverTech's version bridges to 'what does this mean for care?'</w:t>
      </w:r>
    </w:p>
    <w:p>
      <w:pPr>
        <w:spacing w:before="0" w:after="140"/>
        <w:jc w:val="both"/>
      </w:pPr>
      <w:r>
        <w:rPr>
          <w:rFonts w:ascii="Georgia" w:cs="Georgia" w:eastAsia="Georgia" w:hAnsi="Georgia"/>
          <w:b w:val="false"/>
          <w:bCs w:val="false"/>
          <w:i w:val="false"/>
          <w:iCs w:val="false"/>
          <w:color w:val="1C2833"/>
          <w:sz w:val="22"/>
          <w:szCs w:val="22"/>
        </w:rPr>
        <w:t xml:space="preserve">Covers: Alzheimer's (the progression pattern and care implications). Lewy body dementia (the specific challenges — hallucinations, movement symptoms, medication sensitivities that memory care staff must be trained for). Vascular dementia (step-wise decline pattern). Frontotemporal dementia (behavioral variant — the youngest onset type, the one that looks least like classic memory loss and is most likely to catch families off guard). Mixed dementia.</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/guides/memory-care-staffing-ratios</w:t>
      </w:r>
    </w:p>
    <w:p>
      <w:pPr>
        <w:spacing w:before="0" w:after="140"/>
        <w:jc w:val="both"/>
      </w:pPr>
      <w:r>
        <w:rPr>
          <w:rFonts w:ascii="Georgia" w:cs="Georgia" w:eastAsia="Georgia" w:hAnsi="Georgia"/>
          <w:b w:val="false"/>
          <w:bCs w:val="false"/>
          <w:i w:val="false"/>
          <w:iCs w:val="false"/>
          <w:color w:val="1C2833"/>
          <w:sz w:val="22"/>
          <w:szCs w:val="22"/>
        </w:rPr>
        <w:t xml:space="preserve">Title: Memory Care Staffing Ratios: What They Are, Why They Matter, and What to Ask</w:t>
      </w:r>
    </w:p>
    <w:p>
      <w:pPr>
        <w:spacing w:before="0" w:after="140"/>
        <w:jc w:val="both"/>
      </w:pPr>
      <w:r>
        <w:rPr>
          <w:rFonts w:ascii="Georgia" w:cs="Georgia" w:eastAsia="Georgia" w:hAnsi="Georgia"/>
          <w:b w:val="false"/>
          <w:bCs w:val="false"/>
          <w:i w:val="false"/>
          <w:iCs w:val="false"/>
          <w:color w:val="1C2833"/>
          <w:sz w:val="22"/>
          <w:szCs w:val="22"/>
        </w:rPr>
        <w:t xml:space="preserve">Why it ranks: Low competition, high specificity, exactly what families on facility tours need. Also serves as a tour checklist companion piece.</w:t>
      </w:r>
    </w:p>
    <w:p>
      <w:pPr>
        <w:spacing w:before="0" w:after="140"/>
        <w:jc w:val="both"/>
      </w:pPr>
      <w:r>
        <w:rPr>
          <w:rFonts w:ascii="Georgia" w:cs="Georgia" w:eastAsia="Georgia" w:hAnsi="Georgia"/>
          <w:b w:val="false"/>
          <w:bCs w:val="false"/>
          <w:i w:val="false"/>
          <w:iCs w:val="false"/>
          <w:color w:val="1C2833"/>
          <w:sz w:val="22"/>
          <w:szCs w:val="22"/>
        </w:rPr>
        <w:t xml:space="preserve">Covers: What staffing ratio means. The difference between day/evening/night staffing. State regulatory minimums (and why the minimums are often inadequate). What ratio is actually safe for different dementia stages. How to get real numbers from a facility (they often quote the best ratio, not the worst-shift ratio). Red flags.</w:t>
      </w:r>
    </w:p>
    <w:p>
      <w:pPr>
        <w:spacing w:before="0" w:after="80"/>
      </w:pPr>
      <w:r>
        <w:t xml:space="preserve"/>
      </w:r>
    </w:p>
    <w:p>
      <w:pPr>
        <w:spacing w:before="320" w:after="60"/>
      </w:pPr>
      <w:r>
        <w:rPr>
          <w:rFonts w:ascii="Arial" w:cs="Arial" w:eastAsia="Arial" w:hAnsi="Arial"/>
          <w:b/>
          <w:bCs/>
          <w:color w:val="0E7C86"/>
          <w:spacing w:val="40"/>
          <w:sz w:val="16"/>
          <w:szCs w:val="16"/>
        </w:rPr>
        <w:t xml:space="preserve">SUPPORTING ARTICLES</w:t>
      </w:r>
    </w:p>
    <w:p>
      <w:pPr>
        <w:pStyle w:val="Heading3"/>
        <w:spacing w:before="280" w:after="100"/>
      </w:pPr>
      <w:r>
        <w:rPr>
          <w:rFonts w:ascii="Georgia" w:cs="Georgia" w:eastAsia="Georgia" w:hAnsi="Georgia"/>
          <w:b/>
          <w:bCs/>
          <w:color w:val="0E7C86"/>
          <w:sz w:val="22"/>
          <w:szCs w:val="22"/>
        </w:rPr>
        <w:t xml:space="preserve">/guides/memory-care-activity-programs</w:t>
      </w:r>
    </w:p>
    <w:p>
      <w:pPr>
        <w:spacing w:before="0" w:after="100"/>
        <w:ind w:left="360"/>
      </w:pPr>
      <w:r>
        <w:rPr>
          <w:rFonts w:ascii="Georgia" w:cs="Georgia" w:eastAsia="Georgia" w:hAnsi="Georgia"/>
          <w:i/>
          <w:iCs/>
          <w:color w:val="5D6D7E"/>
          <w:sz w:val="20"/>
          <w:szCs w:val="20"/>
        </w:rPr>
        <w:t xml:space="preserve">What good dementia programming looks like. Families care about this. Low competition.</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/guides/memory-care-nutrition-feeding</w:t>
      </w:r>
    </w:p>
    <w:p>
      <w:pPr>
        <w:spacing w:before="0" w:after="100"/>
        <w:ind w:left="360"/>
      </w:pPr>
      <w:r>
        <w:rPr>
          <w:rFonts w:ascii="Georgia" w:cs="Georgia" w:eastAsia="Georgia" w:hAnsi="Georgia"/>
          <w:i/>
          <w:iCs/>
          <w:color w:val="5D6D7E"/>
          <w:sz w:val="20"/>
          <w:szCs w:val="20"/>
        </w:rPr>
        <w:t xml:space="preserve">Late-stage dementia and eating difficulties. Specific, useful, almost no competition.</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/guides/what-to-pack-memory-care</w:t>
      </w:r>
    </w:p>
    <w:p>
      <w:pPr>
        <w:spacing w:before="0" w:after="100"/>
        <w:ind w:left="360"/>
      </w:pPr>
      <w:r>
        <w:rPr>
          <w:rFonts w:ascii="Georgia" w:cs="Georgia" w:eastAsia="Georgia" w:hAnsi="Georgia"/>
          <w:i/>
          <w:iCs/>
          <w:color w:val="5D6D7E"/>
          <w:sz w:val="20"/>
          <w:szCs w:val="20"/>
        </w:rPr>
        <w:t xml:space="preserve">Practical, high-sharing content. Families moving a parent in need this list.</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/guides/memory-care-safety-features</w:t>
      </w:r>
    </w:p>
    <w:p>
      <w:pPr>
        <w:spacing w:before="0" w:after="100"/>
        <w:ind w:left="360"/>
      </w:pPr>
      <w:r>
        <w:rPr>
          <w:rFonts w:ascii="Georgia" w:cs="Georgia" w:eastAsia="Georgia" w:hAnsi="Georgia"/>
          <w:i/>
          <w:iCs/>
          <w:color w:val="5D6D7E"/>
          <w:sz w:val="20"/>
          <w:szCs w:val="20"/>
        </w:rPr>
        <w:t xml:space="preserve">What physical safety design looks like. Good for families who are skeptical about placement.</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Content Pillar 5: Local &amp; Geographic Pages</w:t>
      </w:r>
    </w:p>
    <w:p>
      <w:pPr>
        <w:spacing w:before="0" w:after="140"/>
        <w:jc w:val="both"/>
      </w:pPr>
      <w:r>
        <w:rPr>
          <w:rFonts w:ascii="Georgia" w:cs="Georgia" w:eastAsia="Georgia" w:hAnsi="Georgia"/>
          <w:b w:val="false"/>
          <w:bCs w:val="false"/>
          <w:i w:val="false"/>
          <w:iCs w:val="false"/>
          <w:color w:val="1C2833"/>
          <w:sz w:val="22"/>
          <w:szCs w:val="22"/>
        </w:rPr>
        <w:t xml:space="preserve">This is the highest-volume, highest-conversion cluster in the entire strategy — and the most scalable. Families searching with geographic intent ('memory care near me,' 'memory care in [city]') are at Stage 3 or 4 of the decision journey. They are actively comparing and close to choosing. These pages feed directly into the directory.</w:t>
      </w:r>
    </w:p>
    <w:p>
      <w:pPr>
        <w:spacing w:before="0" w:after="80"/>
      </w:pPr>
      <w:r>
        <w:t xml:space="preserve"/>
      </w:r>
    </w:p>
    <w:p>
      <w:pPr>
        <w:spacing w:before="320" w:after="60"/>
      </w:pPr>
      <w:r>
        <w:rPr>
          <w:rFonts w:ascii="Arial" w:cs="Arial" w:eastAsia="Arial" w:hAnsi="Arial"/>
          <w:b/>
          <w:bCs/>
          <w:color w:val="0E7C86"/>
          <w:spacing w:val="40"/>
          <w:sz w:val="16"/>
          <w:szCs w:val="16"/>
        </w:rPr>
        <w:t xml:space="preserve">PAGE TYPE A: STATE GUIDES (51 PAGES)</w:t>
      </w:r>
    </w:p>
    <w:p>
      <w:pPr>
        <w:pStyle w:val="Heading3"/>
        <w:spacing w:before="280" w:after="100"/>
      </w:pPr>
      <w:r>
        <w:rPr>
          <w:rFonts w:ascii="Georgia" w:cs="Georgia" w:eastAsia="Georgia" w:hAnsi="Georgia"/>
          <w:b/>
          <w:bCs/>
          <w:color w:val="0E7C86"/>
          <w:sz w:val="22"/>
          <w:szCs w:val="22"/>
        </w:rPr>
        <w:t xml:space="preserve">/costs/memory-care-cost-[state]</w:t>
      </w:r>
    </w:p>
    <w:p>
      <w:pPr>
        <w:spacing w:before="0" w:after="140"/>
        <w:jc w:val="both"/>
      </w:pPr>
      <w:r>
        <w:rPr>
          <w:rFonts w:ascii="Georgia" w:cs="Georgia" w:eastAsia="Georgia" w:hAnsi="Georgia"/>
          <w:b w:val="false"/>
          <w:bCs w:val="false"/>
          <w:i w:val="false"/>
          <w:iCs w:val="false"/>
          <w:color w:val="1C2833"/>
          <w:sz w:val="22"/>
          <w:szCs w:val="22"/>
        </w:rPr>
        <w:t xml:space="preserve">Title template: Memory Care Costs in [State]: 2026 Guide</w:t>
      </w:r>
    </w:p>
    <w:p>
      <w:pPr>
        <w:spacing w:before="0" w:after="140"/>
        <w:jc w:val="both"/>
      </w:pPr>
      <w:r>
        <w:rPr>
          <w:rFonts w:ascii="Georgia" w:cs="Georgia" w:eastAsia="Georgia" w:hAnsi="Georgia"/>
          <w:b w:val="false"/>
          <w:bCs w:val="false"/>
          <w:i w:val="false"/>
          <w:iCs w:val="false"/>
          <w:color w:val="1C2833"/>
          <w:sz w:val="22"/>
          <w:szCs w:val="22"/>
        </w:rPr>
        <w:t xml:space="preserve">Target KW template: memory care cost [state], memory care [state]</w:t>
      </w:r>
    </w:p>
    <w:p>
      <w:pPr>
        <w:spacing w:before="0" w:after="140"/>
        <w:jc w:val="both"/>
      </w:pPr>
      <w:r>
        <w:rPr>
          <w:rFonts w:ascii="Georgia" w:cs="Georgia" w:eastAsia="Georgia" w:hAnsi="Georgia"/>
          <w:b w:val="false"/>
          <w:bCs w:val="false"/>
          <w:i w:val="false"/>
          <w:iCs w:val="false"/>
          <w:color w:val="1C2833"/>
          <w:sz w:val="22"/>
          <w:szCs w:val="22"/>
        </w:rPr>
        <w:t xml:space="preserve">Target length: 1,000–1,500 words</w:t>
      </w:r>
    </w:p>
    <w:p>
      <w:pPr>
        <w:spacing w:before="0" w:after="140"/>
        <w:jc w:val="both"/>
      </w:pPr>
      <w:r>
        <w:rPr>
          <w:rFonts w:ascii="Georgia" w:cs="Georgia" w:eastAsia="Georgia" w:hAnsi="Georgia"/>
          <w:b w:val="false"/>
          <w:bCs w:val="false"/>
          <w:i w:val="false"/>
          <w:iCs w:val="false"/>
          <w:color w:val="1C2833"/>
          <w:sz w:val="22"/>
          <w:szCs w:val="22"/>
        </w:rPr>
        <w:t xml:space="preserve">Content: Statewide median cost table. Top 5 cities by volume with individual cost data. State Medicaid program name and eligibility overview. State licensing body and where to find inspection reports. Links to city pages for top metros. Link back to national cost hub.</w:t>
      </w:r>
    </w:p>
    <w:p>
      <w:pPr>
        <w:spacing w:before="0" w:after="80"/>
      </w:pPr>
      <w:r>
        <w:t xml:space="preserve"/>
      </w:r>
    </w:p>
    <w:p>
      <w:pPr>
        <w:spacing w:before="320" w:after="60"/>
      </w:pPr>
      <w:r>
        <w:rPr>
          <w:rFonts w:ascii="Arial" w:cs="Arial" w:eastAsia="Arial" w:hAnsi="Arial"/>
          <w:b/>
          <w:bCs/>
          <w:color w:val="0E7C86"/>
          <w:spacing w:val="40"/>
          <w:sz w:val="16"/>
          <w:szCs w:val="16"/>
        </w:rPr>
        <w:t xml:space="preserve">PAGE TYPE B: CITY GUIDES (TOP 100 METROS)</w:t>
      </w:r>
    </w:p>
    <w:p>
      <w:pPr>
        <w:pStyle w:val="Heading3"/>
        <w:spacing w:before="280" w:after="100"/>
      </w:pPr>
      <w:r>
        <w:rPr>
          <w:rFonts w:ascii="Georgia" w:cs="Georgia" w:eastAsia="Georgia" w:hAnsi="Georgia"/>
          <w:b/>
          <w:bCs/>
          <w:color w:val="0E7C86"/>
          <w:sz w:val="22"/>
          <w:szCs w:val="22"/>
        </w:rPr>
        <w:t xml:space="preserve">/costs/memory-care-cost-[city]-[state]</w:t>
      </w:r>
    </w:p>
    <w:p>
      <w:pPr>
        <w:spacing w:before="0" w:after="140"/>
        <w:jc w:val="both"/>
      </w:pPr>
      <w:r>
        <w:rPr>
          <w:rFonts w:ascii="Georgia" w:cs="Georgia" w:eastAsia="Georgia" w:hAnsi="Georgia"/>
          <w:b w:val="false"/>
          <w:bCs w:val="false"/>
          <w:i w:val="false"/>
          <w:iCs w:val="false"/>
          <w:color w:val="1C2833"/>
          <w:sz w:val="22"/>
          <w:szCs w:val="22"/>
        </w:rPr>
        <w:t xml:space="preserve">Title template: Memory Care Costs in [City], [State]: What Families Pay in [Year]</w:t>
      </w:r>
    </w:p>
    <w:p>
      <w:pPr>
        <w:spacing w:before="0" w:after="140"/>
        <w:jc w:val="both"/>
      </w:pPr>
      <w:r>
        <w:rPr>
          <w:rFonts w:ascii="Georgia" w:cs="Georgia" w:eastAsia="Georgia" w:hAnsi="Georgia"/>
          <w:b w:val="false"/>
          <w:bCs w:val="false"/>
          <w:i w:val="false"/>
          <w:iCs w:val="false"/>
          <w:color w:val="1C2833"/>
          <w:sz w:val="22"/>
          <w:szCs w:val="22"/>
        </w:rPr>
        <w:t xml:space="preserve">Target KW template: memory care cost [city], memory care [city] [state], memory care near [city]</w:t>
      </w:r>
    </w:p>
    <w:p>
      <w:pPr>
        <w:spacing w:before="0" w:after="140"/>
        <w:jc w:val="both"/>
      </w:pPr>
      <w:r>
        <w:rPr>
          <w:rFonts w:ascii="Georgia" w:cs="Georgia" w:eastAsia="Georgia" w:hAnsi="Georgia"/>
          <w:b w:val="false"/>
          <w:bCs w:val="false"/>
          <w:i w:val="false"/>
          <w:iCs w:val="false"/>
          <w:color w:val="1C2833"/>
          <w:sz w:val="22"/>
          <w:szCs w:val="22"/>
        </w:rPr>
        <w:t xml:space="preserve">Target length: 900–1,200 words</w:t>
      </w:r>
    </w:p>
    <w:p>
      <w:pPr>
        <w:spacing w:before="0" w:after="140"/>
        <w:jc w:val="both"/>
      </w:pPr>
      <w:r>
        <w:rPr>
          <w:rFonts w:ascii="Georgia" w:cs="Georgia" w:eastAsia="Georgia" w:hAnsi="Georgia"/>
          <w:b w:val="false"/>
          <w:bCs w:val="false"/>
          <w:i w:val="false"/>
          <w:iCs w:val="false"/>
          <w:color w:val="1C2833"/>
          <w:sz w:val="22"/>
          <w:szCs w:val="22"/>
        </w:rPr>
        <w:t xml:space="preserve">Content: City-specific median cost range. Number of licensed communities in the area. Neighborhood-level variation notes. Local Medicaid contact. 3–5 facility listings pulled from directory with structured data markup. Link to state guide. Link to cost estimator.</w:t>
      </w:r>
    </w:p>
    <w:p>
      <w:pPr>
        <w:spacing w:before="0" w:after="80"/>
      </w:pPr>
      <w:r>
        <w:t xml:space="preserve"/>
      </w:r>
    </w:p>
    <w:p>
      <w:pPr>
        <w:spacing w:before="320" w:after="60"/>
      </w:pPr>
      <w:r>
        <w:rPr>
          <w:rFonts w:ascii="Arial" w:cs="Arial" w:eastAsia="Arial" w:hAnsi="Arial"/>
          <w:b/>
          <w:bCs/>
          <w:color w:val="0E7C86"/>
          <w:spacing w:val="40"/>
          <w:sz w:val="16"/>
          <w:szCs w:val="16"/>
        </w:rPr>
        <w:t xml:space="preserve">HIGH-PRIORITY CITY PAGES —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City</w:t>
            </w:r>
          </w:p>
        </w:tc>
        <w:tc>
          <w:tcPr>
            <w:tcW w:type="dxa" w:w="23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Estimated Monthly Searches</w:t>
            </w:r>
          </w:p>
        </w:tc>
        <w:tc>
          <w:tcPr>
            <w:tcW w:type="dxa" w:w="23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Competition Level</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Los Angeles, CA</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2,400–4,000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Medium</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Phoenix, AZ</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1,800–3,200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Low–Medium</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Houston, TX</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1,600–2,800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Low–Medium</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Chicago, IL</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1,400–2,400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Medium</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Tampa / St. Pete, FL</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1,200–2,200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Dallas, TX</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1,200–2,000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Denver, CO</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900–1,600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Atlanta, GA</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900–1,600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Seattle, WA</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800–1,400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Orlando, FL</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800–1,400</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Low</w:t>
            </w:r>
          </w:p>
        </w:tc>
      </w:tr>
    </w:tbl>
    <w:p>
      <w:pPr>
        <w:spacing w:before="0" w:after="80"/>
      </w:pPr>
      <w:r>
        <w:t xml:space="preserve"/>
      </w:r>
    </w:p>
    <w:p>
      <w:pPr>
        <w:spacing w:before="0" w:after="80"/>
      </w:pPr>
      <w:r>
        <w:t xml:space="preserve"/>
      </w:r>
    </w:p>
    <w:p>
      <w:pPr>
        <w:spacing w:before="0" w:after="140"/>
        <w:jc w:val="both"/>
      </w:pPr>
      <w:r>
        <w:rPr>
          <w:rFonts w:ascii="Georgia" w:cs="Georgia" w:eastAsia="Georgia" w:hAnsi="Georgia"/>
          <w:b w:val="false"/>
          <w:bCs w:val="false"/>
          <w:i w:val="false"/>
          <w:iCs w:val="false"/>
          <w:color w:val="1C2833"/>
          <w:sz w:val="22"/>
          <w:szCs w:val="22"/>
        </w:rPr>
        <w:t xml:space="preserve">Florida and Arizona deserve accelerated investment. Florida has the highest absolute volume of any state for senior care search. Arizona has lower competition with high and growing demand. Both have favorable Medicaid environments that generate informational search volume on top of the commercial queries.</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Content Pillar 6: Legal Rights, Advocacy &amp; Oversight</w:t>
      </w:r>
    </w:p>
    <w:p>
      <w:pPr>
        <w:spacing w:before="0" w:after="140"/>
        <w:jc w:val="both"/>
      </w:pPr>
      <w:r>
        <w:rPr>
          <w:rFonts w:ascii="Georgia" w:cs="Georgia" w:eastAsia="Georgia" w:hAnsi="Georgia"/>
          <w:b w:val="false"/>
          <w:bCs w:val="false"/>
          <w:i w:val="false"/>
          <w:iCs w:val="false"/>
          <w:color w:val="1C2833"/>
          <w:sz w:val="22"/>
          <w:szCs w:val="22"/>
        </w:rPr>
        <w:t xml:space="preserve">This pillar is underbuilt by almost every competitor and has enormous trust-building value. Families who have been wronged by an institution, who suspect neglect, or who are trying to understand their legal rights are searching for exactly this content. It also directly supports SilverTech's positioning as an independent, consumer-first platform.</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/guides/memory-care-resident-rights</w:t>
      </w:r>
    </w:p>
    <w:p>
      <w:pPr>
        <w:spacing w:before="0" w:after="140"/>
        <w:jc w:val="both"/>
      </w:pPr>
      <w:r>
        <w:rPr>
          <w:rFonts w:ascii="Georgia" w:cs="Georgia" w:eastAsia="Georgia" w:hAnsi="Georgia"/>
          <w:b w:val="false"/>
          <w:bCs w:val="false"/>
          <w:i w:val="false"/>
          <w:iCs w:val="false"/>
          <w:color w:val="1C2833"/>
          <w:sz w:val="22"/>
          <w:szCs w:val="22"/>
        </w:rPr>
        <w:t xml:space="preserve">Title: Memory Care Resident Rights: What the Law Guarantees (and What It Doesn't)</w:t>
      </w:r>
    </w:p>
    <w:p>
      <w:pPr>
        <w:spacing w:before="0" w:after="100"/>
        <w:ind w:left="360"/>
      </w:pPr>
      <w:r>
        <w:rPr>
          <w:rFonts w:ascii="Georgia" w:cs="Georgia" w:eastAsia="Georgia" w:hAnsi="Georgia"/>
          <w:i/>
          <w:iCs/>
          <w:color w:val="5D6D7E"/>
          <w:sz w:val="20"/>
          <w:szCs w:val="20"/>
        </w:rPr>
        <w:t xml:space="preserve">KW: memory care resident rights | Low competition, high trust signal. State-by-state variation makes this a hub page for state-specific expansions.</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/guides/how-to-report-memory-care-neglect</w:t>
      </w:r>
    </w:p>
    <w:p>
      <w:pPr>
        <w:spacing w:before="0" w:after="140"/>
        <w:jc w:val="both"/>
      </w:pPr>
      <w:r>
        <w:rPr>
          <w:rFonts w:ascii="Georgia" w:cs="Georgia" w:eastAsia="Georgia" w:hAnsi="Georgia"/>
          <w:b w:val="false"/>
          <w:bCs w:val="false"/>
          <w:i w:val="false"/>
          <w:iCs w:val="false"/>
          <w:color w:val="1C2833"/>
          <w:sz w:val="22"/>
          <w:szCs w:val="22"/>
        </w:rPr>
        <w:t xml:space="preserve">Title: How to Report Abuse or Neglect in a Memory Care Facility</w:t>
      </w:r>
    </w:p>
    <w:p>
      <w:pPr>
        <w:spacing w:before="0" w:after="100"/>
        <w:ind w:left="360"/>
      </w:pPr>
      <w:r>
        <w:rPr>
          <w:rFonts w:ascii="Georgia" w:cs="Georgia" w:eastAsia="Georgia" w:hAnsi="Georgia"/>
          <w:i/>
          <w:iCs/>
          <w:color w:val="5D6D7E"/>
          <w:sz w:val="20"/>
          <w:szCs w:val="20"/>
        </w:rPr>
        <w:t xml:space="preserve">KW: report memory care neglect, assisted living abuse | High-distress, high-intent search. Families in this situation desperately need clear guidance. Being the trusted resource here builds loyalty that nothing else can.</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/guides/reading-memory-care-inspection-reports</w:t>
      </w:r>
    </w:p>
    <w:p>
      <w:pPr>
        <w:spacing w:before="0" w:after="140"/>
        <w:jc w:val="both"/>
      </w:pPr>
      <w:r>
        <w:rPr>
          <w:rFonts w:ascii="Georgia" w:cs="Georgia" w:eastAsia="Georgia" w:hAnsi="Georgia"/>
          <w:b w:val="false"/>
          <w:bCs w:val="false"/>
          <w:i w:val="false"/>
          <w:iCs w:val="false"/>
          <w:color w:val="1C2833"/>
          <w:sz w:val="22"/>
          <w:szCs w:val="22"/>
        </w:rPr>
        <w:t xml:space="preserve">Title: How to Find and Read a Memory Care Facility's Inspection Report</w:t>
      </w:r>
    </w:p>
    <w:p>
      <w:pPr>
        <w:spacing w:before="0" w:after="100"/>
        <w:ind w:left="360"/>
      </w:pPr>
      <w:r>
        <w:rPr>
          <w:rFonts w:ascii="Georgia" w:cs="Georgia" w:eastAsia="Georgia" w:hAnsi="Georgia"/>
          <w:i/>
          <w:iCs/>
          <w:color w:val="5D6D7E"/>
          <w:sz w:val="20"/>
          <w:szCs w:val="20"/>
        </w:rPr>
        <w:t xml:space="preserve">KW: memory care inspection reports, assisted living ratings | Practical, specific, and directly drives traffic to directory pages where SilverTech can surface inspection data.</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/guides/memory-care-ombudsman</w:t>
      </w:r>
    </w:p>
    <w:p>
      <w:pPr>
        <w:spacing w:before="0" w:after="140"/>
        <w:jc w:val="both"/>
      </w:pPr>
      <w:r>
        <w:rPr>
          <w:rFonts w:ascii="Georgia" w:cs="Georgia" w:eastAsia="Georgia" w:hAnsi="Georgia"/>
          <w:b w:val="false"/>
          <w:bCs w:val="false"/>
          <w:i w:val="false"/>
          <w:iCs w:val="false"/>
          <w:color w:val="1C2833"/>
          <w:sz w:val="22"/>
          <w:szCs w:val="22"/>
        </w:rPr>
        <w:t xml:space="preserve">Title: What Is a Long-Term Care Ombudsman and How Can They Help Your Family?</w:t>
      </w:r>
    </w:p>
    <w:p>
      <w:pPr>
        <w:spacing w:before="0" w:after="100"/>
        <w:ind w:left="360"/>
      </w:pPr>
      <w:r>
        <w:rPr>
          <w:rFonts w:ascii="Georgia" w:cs="Georgia" w:eastAsia="Georgia" w:hAnsi="Georgia"/>
          <w:i/>
          <w:iCs/>
          <w:color w:val="5D6D7E"/>
          <w:sz w:val="20"/>
          <w:szCs w:val="20"/>
        </w:rPr>
        <w:t xml:space="preserve">KW: long-term care ombudsman | Many families don't know this resource exists. Covering it thoroughly builds authority and generates backlinks from government and advocacy sites.</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/guides/guardianship-dementia</w:t>
      </w:r>
    </w:p>
    <w:p>
      <w:pPr>
        <w:spacing w:before="0" w:after="140"/>
        <w:jc w:val="both"/>
      </w:pPr>
      <w:r>
        <w:rPr>
          <w:rFonts w:ascii="Georgia" w:cs="Georgia" w:eastAsia="Georgia" w:hAnsi="Georgia"/>
          <w:b w:val="false"/>
          <w:bCs w:val="false"/>
          <w:i w:val="false"/>
          <w:iCs w:val="false"/>
          <w:color w:val="1C2833"/>
          <w:sz w:val="22"/>
          <w:szCs w:val="22"/>
        </w:rPr>
        <w:t xml:space="preserve">Title: Guardianship and Dementia: When Families Need Legal Authority to Act</w:t>
      </w:r>
    </w:p>
    <w:p>
      <w:pPr>
        <w:spacing w:before="0" w:after="100"/>
        <w:ind w:left="360"/>
      </w:pPr>
      <w:r>
        <w:rPr>
          <w:rFonts w:ascii="Georgia" w:cs="Georgia" w:eastAsia="Georgia" w:hAnsi="Georgia"/>
          <w:i/>
          <w:iCs/>
          <w:color w:val="5D6D7E"/>
          <w:sz w:val="20"/>
          <w:szCs w:val="20"/>
        </w:rPr>
        <w:t xml:space="preserve">KW: guardianship dementia | Legal topic with significant search volume. Partner content opportunity with elder law attorney directory expansion.</w:t>
      </w:r>
    </w:p>
    <w:p>
      <w:pPr>
        <w:spacing w:before="0" w:after="80"/>
      </w:pPr>
      <w:r>
        <w:t xml:space="preserve"/>
      </w:r>
    </w:p>
    <w:p>
      <w:pPr>
        <w:pStyle w:val="Heading3"/>
        <w:spacing w:before="280" w:after="100"/>
      </w:pPr>
      <w:r>
        <w:rPr>
          <w:rFonts w:ascii="Georgia" w:cs="Georgia" w:eastAsia="Georgia" w:hAnsi="Georgia"/>
          <w:b/>
          <w:bCs/>
          <w:color w:val="0E7C86"/>
          <w:sz w:val="22"/>
          <w:szCs w:val="22"/>
        </w:rPr>
        <w:t xml:space="preserve">/guides/power-of-attorney-memory-care</w:t>
      </w:r>
    </w:p>
    <w:p>
      <w:pPr>
        <w:spacing w:before="0" w:after="140"/>
        <w:jc w:val="both"/>
      </w:pPr>
      <w:r>
        <w:rPr>
          <w:rFonts w:ascii="Georgia" w:cs="Georgia" w:eastAsia="Georgia" w:hAnsi="Georgia"/>
          <w:b w:val="false"/>
          <w:bCs w:val="false"/>
          <w:i w:val="false"/>
          <w:iCs w:val="false"/>
          <w:color w:val="1C2833"/>
          <w:sz w:val="22"/>
          <w:szCs w:val="22"/>
        </w:rPr>
        <w:t xml:space="preserve">Title: Power of Attorney for Dementia: What You Need, When to Get It, and What Happens If You Wait</w:t>
      </w:r>
    </w:p>
    <w:p>
      <w:pPr>
        <w:spacing w:before="0" w:after="100"/>
        <w:ind w:left="360"/>
      </w:pPr>
      <w:r>
        <w:rPr>
          <w:rFonts w:ascii="Georgia" w:cs="Georgia" w:eastAsia="Georgia" w:hAnsi="Georgia"/>
          <w:i/>
          <w:iCs/>
          <w:color w:val="5D6D7E"/>
          <w:sz w:val="20"/>
          <w:szCs w:val="20"/>
        </w:rPr>
        <w:t xml:space="preserve">KW: power of attorney dementia | Extremely high search volume. Families often realize they need this only after it's too late to execute it. Being the clear, calm resource on this is a major trust builder.</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Content Pillar 7: Tools &amp; Interactive Resources</w:t>
      </w:r>
    </w:p>
    <w:p>
      <w:pPr>
        <w:spacing w:before="0" w:after="140"/>
        <w:jc w:val="both"/>
      </w:pPr>
      <w:r>
        <w:rPr>
          <w:rFonts w:ascii="Georgia" w:cs="Georgia" w:eastAsia="Georgia" w:hAnsi="Georgia"/>
          <w:b w:val="false"/>
          <w:bCs w:val="false"/>
          <w:i w:val="false"/>
          <w:iCs w:val="false"/>
          <w:color w:val="1C2833"/>
          <w:sz w:val="22"/>
          <w:szCs w:val="22"/>
        </w:rPr>
        <w:t xml:space="preserve">Tools are the highest-converting pages on a directory site because they require active user engagement. A user who interacts with a tool is 3–5x more likely to use the directory than a user who reads an article. Tools also generate backlinks naturally — other sites reference useful tools without being asked.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60"/>
      </w:tblGrid>
      <w:tr>
        <w:tc>
          <w:tcPr>
            <w:tcW w:type="dxa" w:w="35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TOOL</w:t>
            </w:r>
          </w:p>
        </w:tc>
        <w:tc>
          <w:tcPr>
            <w:tcW w:type="dxa" w:w="32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WHAT IT DOES</w:t>
            </w:r>
          </w:p>
        </w:tc>
        <w:tc>
          <w:tcPr>
            <w:tcW w:type="dxa" w:w="26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STRATEGIC VALUE</w:t>
            </w:r>
          </w:p>
        </w:tc>
      </w:tr>
      <w:tr>
        <w:tc>
          <w:tcPr>
            <w:tcW w:type="dxa" w:w="35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/tools/memory-care-cost-estimator</w:t>
            </w:r>
          </w:p>
        </w:tc>
        <w:tc>
          <w:tcPr>
            <w:tcW w:type="dxa" w:w="3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User enters ZIP code + dementia stage. Returns median base rate, projected care level fee, total all-in estimate range.</w:t>
            </w:r>
          </w:p>
        </w:tc>
        <w:tc>
          <w:tcPr>
            <w:tcW w:type="dxa" w:w="26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Highest-converting tool on site. Every output links to directory.</w:t>
            </w:r>
          </w:p>
        </w:tc>
      </w:tr>
      <w:tr>
        <w:tc>
          <w:tcPr>
            <w:tcW w:type="dxa" w:w="35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/tools/care-level-quiz</w:t>
            </w:r>
          </w:p>
        </w:tc>
        <w:tc>
          <w:tcPr>
            <w:tcW w:type="dxa" w:w="3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10-question assessment based on ADL needs. Returns estimated care level and what that means for monthly cost.</w:t>
            </w:r>
          </w:p>
        </w:tc>
        <w:tc>
          <w:tcPr>
            <w:tcW w:type="dxa" w:w="26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Bridges 'what do they need' to 'what will it cost' — the two questions every family has simultaneously.</w:t>
            </w:r>
          </w:p>
        </w:tc>
      </w:tr>
      <w:tr>
        <w:tc>
          <w:tcPr>
            <w:tcW w:type="dxa" w:w="35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/tools/memory-care-tour-checklist</w:t>
            </w:r>
          </w:p>
        </w:tc>
        <w:tc>
          <w:tcPr>
            <w:tcW w:type="dxa" w:w="3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Printable / digital checklist of 40+ questions to ask on a facility tour, organized by category.</w:t>
            </w:r>
          </w:p>
        </w:tc>
        <w:tc>
          <w:tcPr>
            <w:tcW w:type="dxa" w:w="26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High-sharing content. Families send it to siblings. Generates branded backlinks.</w:t>
            </w:r>
          </w:p>
        </w:tc>
      </w:tr>
      <w:tr>
        <w:tc>
          <w:tcPr>
            <w:tcW w:type="dxa" w:w="35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/tools/dementia-stage-finder</w:t>
            </w:r>
          </w:p>
        </w:tc>
        <w:tc>
          <w:tcPr>
            <w:tcW w:type="dxa" w:w="3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Symptom-based tool that helps families identify what stage their loved one is likely in and links to corresponding care guidance.</w:t>
            </w:r>
          </w:p>
        </w:tc>
        <w:tc>
          <w:tcPr>
            <w:tcW w:type="dxa" w:w="26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Highest-volume awareness tool. Captures families in Stage 1 before any competitor does.</w:t>
            </w:r>
          </w:p>
        </w:tc>
      </w:tr>
      <w:tr>
        <w:tc>
          <w:tcPr>
            <w:tcW w:type="dxa" w:w="35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/tools/compare-memory-care</w:t>
            </w:r>
          </w:p>
        </w:tc>
        <w:tc>
          <w:tcPr>
            <w:tcW w:type="dxa" w:w="3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Side-by-side facility comparison pulled from directory. Normalized cost, staffing ratio, inspection score, amenities.</w:t>
            </w:r>
          </w:p>
        </w:tc>
        <w:tc>
          <w:tcPr>
            <w:tcW w:type="dxa" w:w="26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The directory's core product. All content flows toward this.</w:t>
            </w:r>
          </w:p>
        </w:tc>
      </w:tr>
      <w:tr>
        <w:tc>
          <w:tcPr>
            <w:tcW w:type="dxa" w:w="350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/tools/ltc-insurance-benefit-calculator</w:t>
            </w:r>
          </w:p>
        </w:tc>
        <w:tc>
          <w:tcPr>
            <w:tcW w:type="dxa" w:w="3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User inputs policy details. Returns estimated monthly benefit and how long it covers memory care in their area.</w:t>
            </w:r>
          </w:p>
        </w:tc>
        <w:tc>
          <w:tcPr>
            <w:tcW w:type="dxa" w:w="26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Unique tool — no competitor has this. Will earn backlinks from financial planning sites.</w:t>
            </w:r>
          </w:p>
        </w:tc>
      </w:tr>
    </w:tbl>
    <w:p>
      <w:pPr>
        <w:spacing w:before="0" w:after="80"/>
      </w:pPr>
      <w:r>
        <w:t xml:space="preserve"/>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Production Priority Queue</w:t>
      </w:r>
    </w:p>
    <w:p>
      <w:pPr>
        <w:spacing w:before="0" w:after="140"/>
        <w:jc w:val="both"/>
      </w:pPr>
      <w:r>
        <w:rPr>
          <w:rFonts w:ascii="Georgia" w:cs="Georgia" w:eastAsia="Georgia" w:hAnsi="Georgia"/>
          <w:b w:val="false"/>
          <w:bCs w:val="false"/>
          <w:i w:val="false"/>
          <w:iCs w:val="false"/>
          <w:color w:val="1C2833"/>
          <w:sz w:val="22"/>
          <w:szCs w:val="22"/>
        </w:rPr>
        <w:t xml:space="preserve">Not everything should be built at once. The sequence below maximizes topical authority signal to Google while prioritizing pages closest to conversion. The rule: pillar pages before supporting articles, high-intent pages before informational, and always fill internal link targets before creating new ones.</w:t>
      </w:r>
    </w:p>
    <w:p>
      <w:pPr>
        <w:spacing w:before="0" w:after="80"/>
      </w:pPr>
      <w:r>
        <w:t xml:space="preserve"/>
      </w:r>
    </w:p>
    <w:p>
      <w:pPr>
        <w:spacing w:before="320" w:after="60"/>
      </w:pPr>
      <w:r>
        <w:rPr>
          <w:rFonts w:ascii="Arial" w:cs="Arial" w:eastAsia="Arial" w:hAnsi="Arial"/>
          <w:b/>
          <w:bCs/>
          <w:color w:val="0E7C86"/>
          <w:spacing w:val="40"/>
          <w:sz w:val="16"/>
          <w:szCs w:val="16"/>
        </w:rPr>
        <w:t xml:space="preserve">PHASE 1 — WEEKS 1–6: FOUNDATION (ALREADY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220"/>
        <w:gridCol w:w="1800"/>
        <w:gridCol w:w="1800"/>
      </w:tblGrid>
      <w:tr>
        <w:tc>
          <w:tcPr>
            <w:tcW w:type="dxa" w:w="5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w:t>
            </w:r>
          </w:p>
        </w:tc>
        <w:tc>
          <w:tcPr>
            <w:tcW w:type="dxa" w:w="522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PAGE</w:t>
            </w:r>
          </w:p>
        </w:tc>
        <w:tc>
          <w:tcPr>
            <w:tcW w:type="dxa" w:w="1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PILLAR</w:t>
            </w:r>
          </w:p>
        </w:tc>
        <w:tc>
          <w:tcPr>
            <w:tcW w:type="dxa" w:w="1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TYPE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/guides/hidden-costs-of-memory-care ✓ DONE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Costs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2</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/guides/how-to-pay-for-memory-care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Costs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3</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/guides/what-is-memory-care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Care Types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4</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/guides/signs-its-time-for-memory-care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Decision</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5</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/tools/memory-care-cost-estimator</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Tools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Interactive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6</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/guides/memory-care-vs-nursing-home-cost</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Costs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7</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/guides/stages-of-dementia-and-care-needs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Decision</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8</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/guides/memory-care-cost-by-state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Local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Hub Page</w:t>
            </w:r>
          </w:p>
        </w:tc>
      </w:tr>
    </w:tbl>
    <w:p>
      <w:pPr>
        <w:spacing w:before="0" w:after="80"/>
      </w:pPr>
      <w:r>
        <w:t xml:space="preserve"/>
      </w:r>
    </w:p>
    <w:p>
      <w:pPr>
        <w:spacing w:before="0" w:after="80"/>
      </w:pPr>
      <w:r>
        <w:t xml:space="preserve"/>
      </w:r>
    </w:p>
    <w:p>
      <w:pPr>
        <w:spacing w:before="320" w:after="60"/>
      </w:pPr>
      <w:r>
        <w:rPr>
          <w:rFonts w:ascii="Arial" w:cs="Arial" w:eastAsia="Arial" w:hAnsi="Arial"/>
          <w:b/>
          <w:bCs/>
          <w:color w:val="0E7C86"/>
          <w:spacing w:val="40"/>
          <w:sz w:val="16"/>
          <w:szCs w:val="16"/>
        </w:rPr>
        <w:t xml:space="preserve">PHASE 2 — WEEKS 7–14: TRAFFIC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220"/>
        <w:gridCol w:w="1800"/>
        <w:gridCol w:w="1800"/>
      </w:tblGrid>
      <w:tr>
        <w:tc>
          <w:tcPr>
            <w:tcW w:type="dxa" w:w="5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w:t>
            </w:r>
          </w:p>
        </w:tc>
        <w:tc>
          <w:tcPr>
            <w:tcW w:type="dxa" w:w="522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PAGE</w:t>
            </w:r>
          </w:p>
        </w:tc>
        <w:tc>
          <w:tcPr>
            <w:tcW w:type="dxa" w:w="1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PILLAR</w:t>
            </w:r>
          </w:p>
        </w:tc>
        <w:tc>
          <w:tcPr>
            <w:tcW w:type="dxa" w:w="1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TYPE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9</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/guides/how-to-choose-memory-care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Decision</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10</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/guides/assisted-living-vs-memory-care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Care Types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11</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/guides/caregiver-burnout</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Caregiver</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12</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/guides/va-benefits-memory-care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Costs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Supporting</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13</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/guides/power-of-attorney-memory-care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Legal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Pillar Guide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14</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/tools/care-level-quiz</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Tools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Interactive</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15–25</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Top 10 state cost pages (FL, TX, CA, AZ, IL, PA, OH, NY, NC, GA)</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Local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State Pages</w:t>
            </w:r>
          </w:p>
        </w:tc>
      </w:tr>
      <w:tr>
        <w:tc>
          <w:tcPr>
            <w:tcW w:type="dxa" w:w="54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26–35</w:t>
            </w:r>
          </w:p>
        </w:tc>
        <w:tc>
          <w:tcPr>
            <w:tcW w:type="dxa" w:w="52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Top 10 city cost pages (see priority list above)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Local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City Pages</w:t>
            </w:r>
          </w:p>
        </w:tc>
      </w:tr>
    </w:tbl>
    <w:p>
      <w:pPr>
        <w:spacing w:before="0" w:after="80"/>
      </w:pPr>
      <w:r>
        <w:t xml:space="preserve"/>
      </w:r>
    </w:p>
    <w:p>
      <w:pPr>
        <w:spacing w:before="0" w:after="80"/>
      </w:pPr>
      <w:r>
        <w:t xml:space="preserve"/>
      </w:r>
    </w:p>
    <w:p>
      <w:pPr>
        <w:spacing w:before="320" w:after="60"/>
      </w:pPr>
      <w:r>
        <w:rPr>
          <w:rFonts w:ascii="Arial" w:cs="Arial" w:eastAsia="Arial" w:hAnsi="Arial"/>
          <w:b/>
          <w:bCs/>
          <w:color w:val="0E7C86"/>
          <w:spacing w:val="40"/>
          <w:sz w:val="16"/>
          <w:szCs w:val="16"/>
        </w:rPr>
        <w:t xml:space="preserve">PHASE 3 — MONTH 4+: AUTHORITY &amp; DEPTH</w:t>
      </w:r>
    </w:p>
    <w:p>
      <w:pPr>
        <w:spacing w:before="0" w:after="140"/>
        <w:jc w:val="both"/>
      </w:pPr>
      <w:r>
        <w:rPr>
          <w:rFonts w:ascii="Georgia" w:cs="Georgia" w:eastAsia="Georgia" w:hAnsi="Georgia"/>
          <w:b w:val="false"/>
          <w:bCs w:val="false"/>
          <w:i w:val="false"/>
          <w:iCs w:val="false"/>
          <w:color w:val="1C2833"/>
          <w:sz w:val="22"/>
          <w:szCs w:val="22"/>
        </w:rPr>
        <w:t xml:space="preserve">By Month 4, if Phase 1 and 2 pages are indexing and ranking, Google will have established topical relevance for the domain. Phase 3 is the flywheel: supporting articles that deepen every pillar, remaining state/city pages, tools that drive directory usage, and legal/advocacy content that earns backlinks no competitor has.</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Internal Link Architecture</w:t>
      </w:r>
    </w:p>
    <w:p>
      <w:pPr>
        <w:spacing w:before="0" w:after="140"/>
        <w:jc w:val="both"/>
      </w:pPr>
      <w:r>
        <w:rPr>
          <w:rFonts w:ascii="Georgia" w:cs="Georgia" w:eastAsia="Georgia" w:hAnsi="Georgia"/>
          <w:b w:val="false"/>
          <w:bCs w:val="false"/>
          <w:i w:val="false"/>
          <w:iCs w:val="false"/>
          <w:color w:val="1C2833"/>
          <w:sz w:val="22"/>
          <w:szCs w:val="22"/>
        </w:rPr>
        <w:t xml:space="preserve">Internal links are how Google understands the relationship between pages and how authority flows from high-performing content to conversion pages (the directory). Every content page should link to at least three other site pages, including at least one directory or tool page. The goal is that no page is more than two clicks from the directory.</w:t>
      </w:r>
    </w:p>
    <w:p>
      <w:pPr>
        <w:spacing w:before="0" w:after="80"/>
      </w:pPr>
      <w:r>
        <w:t xml:space="preserve"/>
      </w:r>
    </w:p>
    <w:p>
      <w:pPr>
        <w:pStyle w:val="Heading2"/>
        <w:spacing w:before="400" w:after="160"/>
      </w:pPr>
      <w:r>
        <w:rPr>
          <w:rFonts w:ascii="Georgia" w:cs="Georgia" w:eastAsia="Georgia" w:hAnsi="Georgia"/>
          <w:b/>
          <w:bCs/>
          <w:color w:val="1A3A5C"/>
          <w:sz w:val="26"/>
          <w:szCs w:val="26"/>
        </w:rPr>
        <w:t xml:space="preserve">Link flow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20"/>
        <w:gridCol w:w="5520"/>
      </w:tblGrid>
      <w:tr>
        <w:tc>
          <w:tcPr>
            <w:tcW w:type="dxa" w:w="312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FROM (content page)</w:t>
            </w:r>
          </w:p>
        </w:tc>
        <w:tc>
          <w:tcPr>
            <w:tcW w:type="dxa" w:w="72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w:t>
            </w:r>
          </w:p>
        </w:tc>
        <w:tc>
          <w:tcPr>
            <w:tcW w:type="dxa" w:w="552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TO (destination)</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All cost guides</w:t>
            </w:r>
          </w:p>
        </w:tc>
        <w:tc>
          <w:tcPr>
            <w:tcW w:type="dxa" w:w="7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w:t>
            </w:r>
          </w:p>
        </w:tc>
        <w:tc>
          <w:tcPr>
            <w:tcW w:type="dxa" w:w="55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Cost estimator tool, state cost pages, directory</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All decision guides</w:t>
            </w:r>
          </w:p>
        </w:tc>
        <w:tc>
          <w:tcPr>
            <w:tcW w:type="dxa" w:w="7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w:t>
            </w:r>
          </w:p>
        </w:tc>
        <w:tc>
          <w:tcPr>
            <w:tcW w:type="dxa" w:w="55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How to choose guide, tour checklist tool, directory</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All caregiver guides</w:t>
            </w:r>
          </w:p>
        </w:tc>
        <w:tc>
          <w:tcPr>
            <w:tcW w:type="dxa" w:w="7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w:t>
            </w:r>
          </w:p>
        </w:tc>
        <w:tc>
          <w:tcPr>
            <w:tcW w:type="dxa" w:w="55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Signs it's time guide, how to talk to parent guide, directory</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All state/city pages</w:t>
            </w:r>
          </w:p>
        </w:tc>
        <w:tc>
          <w:tcPr>
            <w:tcW w:type="dxa" w:w="7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w:t>
            </w:r>
          </w:p>
        </w:tc>
        <w:tc>
          <w:tcPr>
            <w:tcW w:type="dxa" w:w="55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State cost hub, city directory listing pages, cost estimator</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All legal guides</w:t>
            </w:r>
          </w:p>
        </w:tc>
        <w:tc>
          <w:tcPr>
            <w:tcW w:type="dxa" w:w="7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w:t>
            </w:r>
          </w:p>
        </w:tc>
        <w:tc>
          <w:tcPr>
            <w:tcW w:type="dxa" w:w="55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Resident rights guide, how to report neglect, directory (inspection data)</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All tools</w:t>
            </w:r>
          </w:p>
        </w:tc>
        <w:tc>
          <w:tcPr>
            <w:tcW w:type="dxa" w:w="7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w:t>
            </w:r>
          </w:p>
        </w:tc>
        <w:tc>
          <w:tcPr>
            <w:tcW w:type="dxa" w:w="55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Directory, relevant pillar guides, cost pages</w:t>
            </w:r>
          </w:p>
        </w:tc>
      </w:tr>
    </w:tbl>
    <w:p>
      <w:pPr>
        <w:spacing w:before="0" w:after="80"/>
      </w:pPr>
      <w:r>
        <w:t xml:space="preserve"/>
      </w:r>
    </w:p>
    <w:p>
      <w:pPr>
        <w:spacing w:before="0" w:after="80"/>
      </w:pPr>
      <w:r>
        <w:t xml:space="preserve"/>
      </w:r>
    </w:p>
    <w:p>
      <w:pPr>
        <w:spacing w:before="0" w:after="140"/>
        <w:jc w:val="both"/>
      </w:pPr>
      <w:r>
        <w:rPr>
          <w:rFonts w:ascii="Georgia" w:cs="Georgia" w:eastAsia="Georgia" w:hAnsi="Georgia"/>
          <w:b w:val="false"/>
          <w:bCs w:val="false"/>
          <w:i w:val="false"/>
          <w:iCs w:val="false"/>
          <w:color w:val="1C2833"/>
          <w:sz w:val="22"/>
          <w:szCs w:val="22"/>
        </w:rPr>
        <w:t xml:space="preserve">One critical rule: anchor text matters. Do not use generic anchors ('click here,' 'learn more'). Use descriptive anchors that include the target keyword ('memory care costs in Florida,' 'how to negotiate community fees'). This is how internal links pass topical relevance, not just PageRank.</w:t>
      </w:r>
    </w:p>
    <w:p>
      <w:pPr>
        <w:spacing w:before="0" w:after="80"/>
      </w:pPr>
      <w:r>
        <w:t xml:space="preserve"/>
      </w:r>
    </w:p>
    <w:p>
      <w:r>
        <w:br w:type="page"/>
      </w:r>
    </w:p>
    <w:p>
      <w:pPr>
        <w:pStyle w:val="Heading1"/>
        <w:pBdr>
          <w:bottom w:val="thick" w:color="0E7C86" w:sz="6" w:space="6"/>
        </w:pBdr>
        <w:spacing w:before="560" w:after="200"/>
      </w:pPr>
      <w:r>
        <w:rPr>
          <w:rFonts w:ascii="Georgia" w:cs="Georgia" w:eastAsia="Georgia" w:hAnsi="Georgia"/>
          <w:b/>
          <w:bCs/>
          <w:color w:val="1A3A5C"/>
          <w:sz w:val="36"/>
          <w:szCs w:val="36"/>
        </w:rPr>
        <w:t xml:space="preserve">Total Content Inventory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PILLAR</w:t>
            </w:r>
          </w:p>
        </w:tc>
        <w:tc>
          <w:tcPr>
            <w:tcW w:type="dxa" w:w="1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PILLAR GUIDES</w:t>
            </w:r>
          </w:p>
        </w:tc>
        <w:tc>
          <w:tcPr>
            <w:tcW w:type="dxa" w:w="1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SUPPORTING</w:t>
            </w:r>
          </w:p>
        </w:tc>
        <w:tc>
          <w:tcPr>
            <w:tcW w:type="dxa" w:w="1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TOTAL PAGES</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1. Costs &amp; Financial Planning</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5</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4</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9</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2. Making the Decision</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5</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5</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10</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3. Caregiver Support</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3</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4</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7</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4. Understanding Care Types</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3</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4</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7</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5. Local &amp; Geographic Pages</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 hub + 51 state</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100+ city pages</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150+</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6. Legal Rights &amp; Advocacy</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5</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0</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5</w:t>
            </w:r>
          </w:p>
        </w:tc>
      </w:tr>
      <w:tr>
        <w:tc>
          <w:tcPr>
            <w:tcW w:type="dxa" w:w="468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b/>
                <w:bCs/>
                <w:color w:val="1C2833"/>
                <w:sz w:val="20"/>
                <w:szCs w:val="20"/>
              </w:rPr>
              <w:t xml:space="preserve">7. Tools &amp; Interactive</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6 tools</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w:t>
            </w:r>
          </w:p>
        </w:tc>
        <w:tc>
          <w:tcPr>
            <w:tcW w:type="dxa" w:w="1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6</w:t>
            </w:r>
          </w:p>
        </w:tc>
      </w:tr>
      <w:tr>
        <w:tc>
          <w:tcPr>
            <w:tcW w:type="dxa" w:w="4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TOTAL</w:t>
            </w:r>
          </w:p>
        </w:tc>
        <w:tc>
          <w:tcPr>
            <w:tcW w:type="dxa" w:w="1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
            </w:r>
          </w:p>
        </w:tc>
        <w:tc>
          <w:tcPr>
            <w:tcW w:type="dxa" w:w="1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val="false"/>
                <w:bCs w:val="false"/>
                <w:color w:val="1C2833"/>
                <w:sz w:val="20"/>
                <w:szCs w:val="20"/>
              </w:rPr>
              <w:t xml:space="preserve"/>
            </w:r>
          </w:p>
        </w:tc>
        <w:tc>
          <w:tcPr>
            <w:tcW w:type="dxa" w:w="1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Georgia" w:cs="Georgia" w:eastAsia="Georgia" w:hAnsi="Georgia"/>
                <w:b/>
                <w:bCs/>
                <w:color w:val="1C2833"/>
                <w:sz w:val="20"/>
                <w:szCs w:val="20"/>
              </w:rPr>
              <w:t xml:space="preserve">194+ pages</w:t>
            </w:r>
          </w:p>
        </w:tc>
      </w:tr>
    </w:tbl>
    <w:p>
      <w:pPr>
        <w:spacing w:before="0" w:after="80"/>
      </w:pPr>
      <w:r>
        <w:t xml:space="preserve"/>
      </w:r>
    </w:p>
    <w:p>
      <w:pPr>
        <w:spacing w:before="0" w:after="80"/>
      </w:pPr>
      <w:r>
        <w:t xml:space="preserve"/>
      </w:r>
    </w:p>
    <w:p>
      <w:pPr>
        <w:spacing w:before="0" w:after="140"/>
        <w:jc w:val="both"/>
      </w:pPr>
      <w:r>
        <w:rPr>
          <w:rFonts w:ascii="Georgia" w:cs="Georgia" w:eastAsia="Georgia" w:hAnsi="Georgia"/>
          <w:b w:val="false"/>
          <w:bCs w:val="false"/>
          <w:i w:val="false"/>
          <w:iCs w:val="false"/>
          <w:color w:val="1C2833"/>
          <w:sz w:val="22"/>
          <w:szCs w:val="22"/>
        </w:rPr>
        <w:t xml:space="preserve">194+ pages is a 12–18 month editorial roadmap, not a sprint. The Phase 1 and 2 priorities represent 35 pages — a fully executable 6-month plan that, if executed well, will establish SilverTech as a topical authority in Google's index before the majority of pages are even built.</w:t>
      </w:r>
    </w:p>
    <w:p>
      <w:pPr>
        <w:spacing w:before="0" w:after="80"/>
      </w:pPr>
      <w:r>
        <w:t xml:space="preserve"/>
      </w:r>
    </w:p>
    <w:p>
      <w:pPr>
        <w:spacing w:before="0" w:after="140"/>
        <w:jc w:val="both"/>
      </w:pPr>
      <w:r>
        <w:rPr>
          <w:rFonts w:ascii="Georgia" w:cs="Georgia" w:eastAsia="Georgia" w:hAnsi="Georgia"/>
          <w:b w:val="false"/>
          <w:bCs w:val="false"/>
          <w:i w:val="false"/>
          <w:iCs w:val="false"/>
          <w:color w:val="1C2833"/>
          <w:sz w:val="22"/>
          <w:szCs w:val="22"/>
        </w:rPr>
        <w:t xml:space="preserve">The most important insight in this entire strategy: the local pages (Pillar 5) represent 150+ of the 194 total pages, but they are the most templatable and the highest-conversion. Once the template is built and the data is structured, those pages scale programmatically. The editorial investment is in the 44 pillar and supporting guides — those are the ones that build the domain authority that makes the local pages rank.</w:t>
      </w:r>
    </w:p>
    <w:p>
      <w:pPr>
        <w:spacing w:before="0" w:after="80"/>
      </w:pPr>
      <w:r>
        <w:t xml:space="preserve"/>
      </w:r>
    </w:p>
    <w:p>
      <w:pPr>
        <w:pBdr>
          <w:bottom w:val="single" w:color="D5D8DC" w:sz="1" w:space="1"/>
        </w:pBdr>
        <w:spacing w:before="160" w:after="160"/>
      </w:pPr>
      <w:r>
        <w:t xml:space="preserve"/>
      </w:r>
    </w:p>
    <w:p>
      <w:pPr>
        <w:spacing w:before="0" w:after="80"/>
      </w:pPr>
      <w:r>
        <w:t xml:space="preserve"/>
      </w:r>
    </w:p>
    <w:p>
      <w:pPr>
        <w:spacing w:before="0" w:after="140"/>
        <w:jc w:val="both"/>
      </w:pPr>
      <w:r>
        <w:rPr>
          <w:rFonts w:ascii="Georgia" w:cs="Georgia" w:eastAsia="Georgia" w:hAnsi="Georgia"/>
          <w:b w:val="false"/>
          <w:bCs w:val="false"/>
          <w:i/>
          <w:iCs/>
          <w:color w:val="1C2833"/>
          <w:sz w:val="22"/>
          <w:szCs w:val="22"/>
        </w:rPr>
        <w:t xml:space="preserve">Document prepared by: SilverTech Editorial Team | February 2026</w:t>
      </w:r>
    </w:p>
    <w:p>
      <w:pPr>
        <w:spacing w:before="0" w:after="140"/>
        <w:jc w:val="both"/>
      </w:pPr>
      <w:r>
        <w:rPr>
          <w:rFonts w:ascii="Georgia" w:cs="Georgia" w:eastAsia="Georgia" w:hAnsi="Georgia"/>
          <w:b w:val="false"/>
          <w:bCs w:val="false"/>
          <w:i/>
          <w:iCs/>
          <w:color w:val="1C2833"/>
          <w:sz w:val="22"/>
          <w:szCs w:val="22"/>
        </w:rPr>
        <w:t xml:space="preserve">Questions: editorial@silvertech.com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Georgia" w:cs="Georgia" w:eastAsia="Georgia" w:hAnsi="Georgia"/>
      <w:b/>
      <w:bCs/>
      <w:color w:val="1A3A5C"/>
      <w:sz w:val="36"/>
      <w:szCs w:val="36"/>
    </w:rPr>
  </w:style>
  <w:style w:type="paragraph" w:styleId="Heading2">
    <w:name w:val="Heading 2"/>
    <w:basedOn w:val="Normal"/>
    <w:next w:val="Normal"/>
    <w:qFormat/>
    <w:pPr>
      <w:spacing w:before="400" w:after="160"/>
      <w:outlineLvl w:val="1"/>
    </w:pPr>
    <w:rPr>
      <w:rFonts w:ascii="Georgia" w:cs="Georgia" w:eastAsia="Georgia" w:hAnsi="Georgia"/>
      <w:b/>
      <w:bCs/>
      <w:color w:val="1A3A5C"/>
      <w:sz w:val="26"/>
      <w:szCs w:val="26"/>
    </w:rPr>
  </w:style>
  <w:style w:type="paragraph" w:styleId="Heading3">
    <w:name w:val="Heading 3"/>
    <w:basedOn w:val="Normal"/>
    <w:next w:val="Normal"/>
    <w:qFormat/>
    <w:pPr>
      <w:spacing w:before="280" w:after="100"/>
      <w:outlineLvl w:val="2"/>
    </w:pPr>
    <w:rPr>
      <w:rFonts w:ascii="Georgia" w:cs="Georgia" w:eastAsia="Georgia" w:hAnsi="Georgia"/>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2026-02-21T20:52:10.050Z</dcterms:created>
  <dcterms:modified xsi:type="dcterms:W3CDTF">2026-02-21T20:52:10.050Z</dcterms:modified>
</cp:coreProperties>
</file>

<file path=docProps/custom.xml><?xml version="1.0" encoding="utf-8"?>
<Properties xmlns="http://schemas.openxmlformats.org/officeDocument/2006/custom-properties" xmlns:vt="http://schemas.openxmlformats.org/officeDocument/2006/docPropsVTypes"/>
</file>