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200"/>
      </w:pPr>
      <w:r>
        <w:rPr>
          <w:rFonts w:ascii="Georgia" w:cs="Georgia" w:eastAsia="Georgia" w:hAnsi="Georgia"/>
          <w:b/>
          <w:bCs/>
          <w:color w:val="1A3A5C"/>
          <w:sz w:val="48"/>
          <w:szCs w:val="48"/>
        </w:rPr>
        <w:t xml:space="preserve">SilverTech: The Unexpected Keyword Master List</w:t>
      </w:r>
    </w:p>
    <w:p>
      <w:pPr>
        <w:spacing w:before="0" w:after="400"/>
      </w:pPr>
      <w:r>
        <w:rPr>
          <w:rFonts w:ascii="Georgia" w:cs="Georgia" w:eastAsia="Georgia" w:hAnsi="Georgia"/>
          <w:i/>
          <w:iCs/>
          <w:color w:val="5D6D7E"/>
          <w:sz w:val="24"/>
          <w:szCs w:val="24"/>
        </w:rPr>
        <w:t xml:space="preserve">Every search your audience makes before they know they need you — prioritized, slugged, and angled</w:t>
      </w:r>
    </w:p>
    <w:p>
      <w:pPr>
        <w:pBdr>
          <w:bottom w:val="single" w:color="D5D8DC" w:sz="1" w:space="1"/>
        </w:pBdr>
        <w:spacing w:before="160" w:after="160"/>
      </w:pPr>
      <w:r>
        <w:t xml:space="preserve"/>
      </w:r>
    </w:p>
    <w:p>
      <w:pPr>
        <w:spacing w:before="0" w:after="80"/>
      </w:pPr>
      <w:r>
        <w:t xml:space="preserve"/>
      </w:r>
    </w:p>
    <w:p>
      <w:pPr>
        <w:spacing w:before="0" w:after="130"/>
        <w:jc w:val="both"/>
      </w:pPr>
      <w:r>
        <w:rPr>
          <w:rFonts w:ascii="Georgia" w:cs="Georgia" w:eastAsia="Georgia" w:hAnsi="Georgia"/>
          <w:b w:val="false"/>
          <w:bCs w:val="false"/>
          <w:i/>
          <w:iCs/>
          <w:color w:val="1C2833"/>
          <w:sz w:val="22"/>
          <w:szCs w:val="22"/>
        </w:rPr>
        <w:t xml:space="preserve">This document contains the full prioritized list of unexpected keyword opportunities for SilverTech — queries made by your exact audience that no senior care directory currently ranks for. Organized by audience state. Emotional Breaking Point is expanded at the end with deep content angles.</w:t>
      </w:r>
    </w:p>
    <w:p>
      <w:pPr>
        <w:spacing w:before="0" w:after="80"/>
      </w:pPr>
      <w:r>
        <w:t xml:space="preserve"/>
      </w:r>
    </w:p>
    <w:p>
      <w:pPr>
        <w:spacing w:before="0" w:after="130"/>
        <w:jc w:val="both"/>
      </w:pPr>
      <w:r>
        <w:rPr>
          <w:rFonts w:ascii="Georgia" w:cs="Georgia" w:eastAsia="Georgia" w:hAnsi="Georgia"/>
          <w:b/>
          <w:bCs/>
          <w:i w:val="false"/>
          <w:iCs w:val="false"/>
          <w:color w:val="1C2833"/>
          <w:sz w:val="22"/>
          <w:szCs w:val="22"/>
        </w:rPr>
        <w:t xml:space="preserve">Priority key:</w:t>
      </w:r>
    </w:p>
    <w:p>
      <w:pPr>
        <w:spacing w:before="0" w:after="130"/>
        <w:jc w:val="both"/>
      </w:pPr>
      <w:r>
        <w:rPr>
          <w:rFonts w:ascii="Georgia" w:cs="Georgia" w:eastAsia="Georgia" w:hAnsi="Georgia"/>
          <w:b w:val="false"/>
          <w:bCs w:val="false"/>
          <w:i w:val="false"/>
          <w:iCs w:val="false"/>
          <w:color w:val="1C2833"/>
          <w:sz w:val="22"/>
          <w:szCs w:val="22"/>
        </w:rPr>
        <w:t xml:space="preserve">P1 — Build immediately. High volume, low competition, direct conversion path.</w:t>
      </w:r>
    </w:p>
    <w:p>
      <w:pPr>
        <w:spacing w:before="0" w:after="130"/>
        <w:jc w:val="both"/>
      </w:pPr>
      <w:r>
        <w:rPr>
          <w:rFonts w:ascii="Georgia" w:cs="Georgia" w:eastAsia="Georgia" w:hAnsi="Georgia"/>
          <w:b w:val="false"/>
          <w:bCs w:val="false"/>
          <w:i w:val="false"/>
          <w:iCs w:val="false"/>
          <w:color w:val="1C2833"/>
          <w:sz w:val="22"/>
          <w:szCs w:val="22"/>
        </w:rPr>
        <w:t xml:space="preserve">P2 — Build in the next 60 days. Strong traffic potential, slightly longer conversion path.</w:t>
      </w:r>
    </w:p>
    <w:p>
      <w:pPr>
        <w:spacing w:before="0" w:after="130"/>
        <w:jc w:val="both"/>
      </w:pPr>
      <w:r>
        <w:rPr>
          <w:rFonts w:ascii="Georgia" w:cs="Georgia" w:eastAsia="Georgia" w:hAnsi="Georgia"/>
          <w:b w:val="false"/>
          <w:bCs w:val="false"/>
          <w:i w:val="false"/>
          <w:iCs w:val="false"/>
          <w:color w:val="1C2833"/>
          <w:sz w:val="22"/>
          <w:szCs w:val="22"/>
        </w:rPr>
        <w:t xml:space="preserve">P3 — Build when capacity allows. Lower volume but authority-building or backlink value.</w:t>
      </w:r>
    </w:p>
    <w:p>
      <w:pPr>
        <w:spacing w:before="0" w:after="130"/>
        <w:jc w:val="both"/>
      </w:pPr>
      <w:r>
        <w:rPr>
          <w:rFonts w:ascii="Georgia" w:cs="Georgia" w:eastAsia="Georgia" w:hAnsi="Georgia"/>
          <w:b w:val="false"/>
          <w:bCs w:val="false"/>
          <w:i w:val="false"/>
          <w:iCs w:val="false"/>
          <w:color w:val="1C2833"/>
          <w:sz w:val="22"/>
          <w:szCs w:val="22"/>
        </w:rPr>
        <w:t xml:space="preserve">EM — Emotional Breaking Point. Expanded section. Highest loyalty and sharing potential on the site.</w:t>
      </w:r>
    </w:p>
    <w:p>
      <w:pPr>
        <w:spacing w:before="0" w:after="80"/>
      </w:pPr>
      <w:r>
        <w:t xml:space="preserve"/>
      </w:r>
    </w:p>
    <w:p>
      <w:r>
        <w:br w:type="page"/>
      </w:r>
    </w:p>
    <w:p>
      <w:pPr>
        <w:pStyle w:val="Heading1"/>
        <w:pBdr>
          <w:bottom w:val="thick" w:color="0E7C86" w:sz="6" w:space="6"/>
        </w:pBdr>
        <w:spacing w:before="480" w:after="200"/>
      </w:pPr>
      <w:r>
        <w:rPr>
          <w:rFonts w:ascii="Georgia" w:cs="Georgia" w:eastAsia="Georgia" w:hAnsi="Georgia"/>
          <w:b/>
          <w:bCs/>
          <w:color w:val="1A3A5C"/>
          <w:sz w:val="34"/>
          <w:szCs w:val="34"/>
        </w:rPr>
        <w:t xml:space="preserve">1. Pre-Diagnosis: Something Is Wrong</w:t>
      </w:r>
    </w:p>
    <w:p>
      <w:pPr>
        <w:spacing w:before="0" w:after="130"/>
        <w:jc w:val="both"/>
      </w:pPr>
      <w:r>
        <w:rPr>
          <w:rFonts w:ascii="Georgia" w:cs="Georgia" w:eastAsia="Georgia" w:hAnsi="Georgia"/>
          <w:b w:val="false"/>
          <w:bCs w:val="false"/>
          <w:i w:val="false"/>
          <w:iCs w:val="false"/>
          <w:color w:val="1C2833"/>
          <w:sz w:val="22"/>
          <w:szCs w:val="22"/>
        </w:rPr>
        <w:t xml:space="preserve">The family has noticed changes. They have not used the word dementia. They are searching in the language of what they saw — a behavior, an incident, a feeling that something is off. These keywords have enormous volume and almost zero competition from senior care sites because competitors only think about post-diagnosis audiences.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repeating same story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8K–18K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/guides/why-elderly-parent-repeats-stories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Not just memory — explain the loop mechanism, when it's normal aging vs. early dementia, and what to watch for next.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mom keeps forgetting things is that normal</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8K–20K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/guides/parent-forgetting-things-normal-or-dementia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The distinction question. Calm, specific. Bridges naturally into early signs guide and dementia checklist tool.</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not bathing anymore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/guides/elderly-parent-refusing-to-bathe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Hygiene refusal is a major early sign AND a caregiver pain point. Two audiences, one page. Bridge to care options.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take car keys away from elderly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/guides/taking-car-keys-from-elderly-parent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Emotionally loaded. Covers the conversation, the legal angles, DMV reporting, car disabling. Enormous empathy opportunity.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dementia come on suddenly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4K–10K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/guides/can-dementia-come-on-suddenly</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Very common post-incident question. Short, definitive, featured snippet target. Bridge to type-specific guides.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confused at night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/guides/sundowning-confused-at-night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Sundowning is searched 15K–30K/mo under its own name too. This captures the search before they know the term.</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leaving stove on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2K–6K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/guides/parent-leaving-stove-on-dementia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incident. High anxiety. Safety assessment → home modifications → when it's no longer safe at home.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suspicious of family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/guides/elderly-parent-suspicion-paranoia-dementia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Paranoia as dementia symptom. Deeply upsetting for families. Lewy body and Alzheimer's specific angles.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aging parent personality change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/guides/aging-parent-personality-change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Frontotemporal dementia is often first noticed as personality change. Massively underserved. Strong FTD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hoarding things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/guides/elderly-parent-hoarding-dementia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Hoarding spikes in early dementia. Almost no senior care content. Overlaps with mental health search audience.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giving money away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/guides/parent-giving-money-away-dementia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Financial exploitation risk + cognitive decline signal. Practical + emotional. Bridge to POA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keeps calling me 20 times a day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/guides/elderly-parent-calling-constantly</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Anxiety and cognitive decline symptom. Caregiver frustration audience. Bridge to when professional care helps.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dad called me by wrong name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/guides/parent-calling-you-wrong-name-dementia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Deeply personal. High emotional resonance. Short page, high loyalty. Bridge to disease progression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losing weight suddenly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/guides/elderly-parent-losing-weight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Overlooked dementia sign AND a safety flag. Medical bridge. Connects to nutrition and care needs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smell of urine in elderly parent house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/guides/hygiene-decline-elderly-parent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Hygiene cluster anchor page. Covers what it signals, how to address it, when it's beyond home management.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accusing spouse of cheating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/guides/dementia-jealousy-accusations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Otello syndrome — sexual jealousy delusion in dementia. Extremely distressing. Almost no consumer content exists.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seeing things that aren't there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/guides/dementia-hallucinations-family-guide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Visual hallucinations. Lewy body specific angle. High distress search — the resource that helps earns lasting trust.</w:t>
            </w:r>
          </w:p>
        </w:tc>
      </w:tr>
    </w:tbl>
    <w:p>
      <w:r>
        <w:br w:type="page"/>
      </w:r>
    </w:p>
    <w:p>
      <w:pPr>
        <w:pStyle w:val="Heading1"/>
        <w:pBdr>
          <w:bottom w:val="thick" w:color="0E7C86" w:sz="6" w:space="6"/>
        </w:pBdr>
        <w:spacing w:before="480" w:after="200"/>
      </w:pPr>
      <w:r>
        <w:rPr>
          <w:rFonts w:ascii="Georgia" w:cs="Georgia" w:eastAsia="Georgia" w:hAnsi="Georgia"/>
          <w:b/>
          <w:bCs/>
          <w:color w:val="1A3A5C"/>
          <w:sz w:val="34"/>
          <w:szCs w:val="34"/>
        </w:rPr>
        <w:t xml:space="preserve">2. The Diagnosis Just Happened</w:t>
      </w:r>
    </w:p>
    <w:p>
      <w:pPr>
        <w:spacing w:before="0" w:after="130"/>
        <w:jc w:val="both"/>
      </w:pPr>
      <w:r>
        <w:rPr>
          <w:rFonts w:ascii="Georgia" w:cs="Georgia" w:eastAsia="Georgia" w:hAnsi="Georgia"/>
          <w:b w:val="false"/>
          <w:bCs w:val="false"/>
          <w:i w:val="false"/>
          <w:iCs w:val="false"/>
          <w:color w:val="1C2833"/>
          <w:sz w:val="22"/>
          <w:szCs w:val="22"/>
        </w:rPr>
        <w:t xml:space="preserve">The doctor said the word. The family is in shock. They don't know what to do next, what questions to ask, how fast this moves, or what the next three years look like. The content they find in the next 72 hours will define which resource they trust for everything that follows.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what to do after dementia diagnosis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/guides/after-dementia-diagnosis-what-now</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The single most important post-diagnosis search. Step-by-step 30/60/90 day guide. Legal, medical, financial, family.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dementia vs Alzheimer's difference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8K–20K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/guides/dementia-vs-alzheimers-difference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One of the most-searched distinctions in medicine. Short, clear, featured snippet. Hub for all disease-specific guides.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long do people live with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/guides/dementia-life-expectancy</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First question many families ask. Nuanced answer by type. Build trust with honesty, not false comfort.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fast does Alzheimer's progress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4K–10K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/guides/how-fast-does-alzheimers-progress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Disease progression timeline. Stage-by-stage. Bridges directly into care planning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what questions to ask neurologist about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/guides/questions-to-ask-neurologist-dementia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Printable checklist format. High sharing, high bookmark rate. Drives return visits.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Lewy body dementia what to expect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/guides/lewy-body-dementia-what-to-expect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Lewy body families are the most underserved audience in dementia care. This page will own the niche.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frontotemporal dementia behavior changes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/guides/frontotemporal-dementia-behaviors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FTD looks nothing like Alzheimer's. Behavioral variant. Youngest onset. Almost no consumer-facing content exists.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vascular dementia prognosis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/guides/vascular-dementia-prognosis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Step-pattern decline. Very different from Alzheimer's. Specific, searchable, almost no competition.</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mixed dementia what does it mean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/guides/mixed-dementia-explained</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Most common actual diagnosis. Least explained. 'Mixed' confuses families — this clears it up.</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newly diagnosed Alzheimer's resources for families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/guides/alzheimers-diagnosis-resources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Hub page targeting families who want a single starting point. SilverTech becomes that hub.</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early onset dementia symptoms under 65</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/guides/early-onset-dementia-under-65</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Younger patients, completely different life circumstances. Almost no senior care content addresses this age group.</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telling children about grandparent's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/guides/telling-children-grandparent-has-dementia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 sharing. Pediatric psychologist angle. Earns backlinks from parenting and education sites.</w:t>
            </w:r>
          </w:p>
        </w:tc>
      </w:tr>
    </w:tbl>
    <w:p>
      <w:r>
        <w:br w:type="page"/>
      </w:r>
    </w:p>
    <w:p>
      <w:pPr>
        <w:pStyle w:val="Heading1"/>
        <w:pBdr>
          <w:bottom w:val="thick" w:color="0E7C86" w:sz="6" w:space="6"/>
        </w:pBdr>
        <w:spacing w:before="480" w:after="200"/>
      </w:pPr>
      <w:r>
        <w:rPr>
          <w:rFonts w:ascii="Georgia" w:cs="Georgia" w:eastAsia="Georgia" w:hAnsi="Georgia"/>
          <w:b/>
          <w:bCs/>
          <w:color w:val="1A3A5C"/>
          <w:sz w:val="34"/>
          <w:szCs w:val="34"/>
        </w:rPr>
        <w:t xml:space="preserve">3. Safety Crisis Searches</w:t>
      </w:r>
    </w:p>
    <w:p>
      <w:pPr>
        <w:spacing w:before="0" w:after="130"/>
        <w:jc w:val="both"/>
      </w:pPr>
      <w:r>
        <w:rPr>
          <w:rFonts w:ascii="Georgia" w:cs="Georgia" w:eastAsia="Georgia" w:hAnsi="Georgia"/>
          <w:b w:val="false"/>
          <w:bCs w:val="false"/>
          <w:i w:val="false"/>
          <w:iCs w:val="false"/>
          <w:color w:val="1C2833"/>
          <w:sz w:val="22"/>
          <w:szCs w:val="22"/>
        </w:rPr>
        <w:t xml:space="preserve">Something specific has gone wrong. These searches happen at high urgency. The person is not browsing — they need an answer right now, and the content that helps them is one step away from converting them into a directory user. Tone matters enormously here: calm, clear, and action-oriented.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with dementia wandering at night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/guides/dementia-wandering-prevention</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Wandering is the #1 safety crisis that triggers placement. GPS trackers, door alarms, secured memory care — full guide.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fell what do I do now</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/guides/elderly-parent-fell-what-to-do</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Post-fall urgency search. Medical steps, fall risk assessment, when a fall changes the care equation.</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elderly parent refusing to take medication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/guides/elderly-parent-refusing-medication</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Medication refusal is a top reason home care breaks down. Practical solutions and when professional management is needed.</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with dementia aggressive toward me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3K–8K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/guides/dementia-aggression-toward-family</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Behavioral aggression is the most distressing caregiver experience and a primary placement trigger. Almost no quality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emergency memory care placement how fast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/guides/emergency-memory-care-placement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Crisis-mode search with the highest conversion rate on the list. Direct path to directory. Calm, step-by-step guide.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stop elderly parent from leaving house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/guides/preventing-dementia-patient-from-leaving</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Pre-incident safety. Door alarms, GPS, safe return programs. Bridge to secured memory care features.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with dementia won't sleep at night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/guides/dementia-sleep-problems-caregiver</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Caregiver exhaustion trigger. Sleep disruption is a top reason families reach the breaking point.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with dementia called 911</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/guides/when-parent-with-dementia-calls-911</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incident. High anxiety. Safety planning, medical alert ID, when living alone is no longer safe.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I leave parent with dementia alone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/guides/leaving-dementia-patient-alone-safely</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One of the most searched practical safety questions. Stage-specific guidance. Clear bridge to care options.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dementia patient refusing to eat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/guides/dementia-patient-refusing-to-eat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Late-stage feeding difficulties. Covers practical approaches and when it signals disease progression.</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parent with dementia driving accident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/guides/dementia-driving-accident-what-to-do</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Post-accident legal and care urgency. DMV reporting, liability, license revocation process.</w:t>
            </w:r>
          </w:p>
        </w:tc>
      </w:tr>
    </w:tbl>
    <w:p>
      <w:r>
        <w:br w:type="page"/>
      </w:r>
    </w:p>
    <w:p>
      <w:pPr>
        <w:pStyle w:val="Heading1"/>
        <w:pBdr>
          <w:bottom w:val="thick" w:color="0E7C86" w:sz="6" w:space="6"/>
        </w:pBdr>
        <w:spacing w:before="480" w:after="200"/>
      </w:pPr>
      <w:r>
        <w:rPr>
          <w:rFonts w:ascii="Georgia" w:cs="Georgia" w:eastAsia="Georgia" w:hAnsi="Georgia"/>
          <w:b/>
          <w:bCs/>
          <w:color w:val="1A3A5C"/>
          <w:sz w:val="34"/>
          <w:szCs w:val="34"/>
        </w:rPr>
        <w:t xml:space="preserve">4. Financial &amp; Legal Panic</w:t>
      </w:r>
    </w:p>
    <w:p>
      <w:pPr>
        <w:spacing w:before="0" w:after="130"/>
        <w:jc w:val="both"/>
      </w:pPr>
      <w:r>
        <w:rPr>
          <w:rFonts w:ascii="Georgia" w:cs="Georgia" w:eastAsia="Georgia" w:hAnsi="Georgia"/>
          <w:b w:val="false"/>
          <w:bCs w:val="false"/>
          <w:i w:val="false"/>
          <w:iCs w:val="false"/>
          <w:color w:val="1C2833"/>
          <w:sz w:val="22"/>
          <w:szCs w:val="22"/>
        </w:rPr>
        <w:t xml:space="preserve">The moment a family realizes that memory care costs $7,000–$9,000 a month is often a financial crisis moment. These searches look like personal finance searches. They belong to SilverTech. The financial lifelines that exist — VA benefits, Medicaid, caregiver pay programs, tax deductions — are dramatically undersearched because families don't know they exist. The content that reveals them earns enormous trust.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Medicare pay for memory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8K–20K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/guides/does-medicare-cover-memory-care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Most-searched financial question in the space. Answer: mostly no. Clear, definitive page. Featured snippet. Bridge to actual options.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pay for memory care when you have no money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/guides/how-to-pay-for-memory-care-no-money</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The desperation search. Medicaid, VA, family contribution models. Empathy-first tone. High loyalty.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I get paid to take care of my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/guides/getting-paid-to-care-for-parent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Most families don't know Medicaid self-directed care programs and VA caregiver support exist. The page that explains it will rank and earn links from elder care advocacy orgs.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selling parents house to pay for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/guides/selling-parents-house-to-pay-for-care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Very common situation. Tax implications, Medicaid implications, timing, family dynamics. Connects to elder law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VA benefits for dementia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/guides/va-benefits-dementia-care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Aid &amp; Attendance benefit pays up to $2,727/mo. Most veterans and spouses don't know it exists. Massive underserved audience.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what happens to social security if parent goes to nursing home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/guides/social-security-nursing-home-placement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high-anxiety financial question. Short answer, clear, featured snippet target.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Medicaid look back period explained</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/guides/medicaid-look-back-period-explained</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5-year look-back is widely misunderstood and causes panic. Calm explainer. Bridge to elder law attorney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reverse mortgage to pay for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/guides/reverse-mortgage-pay-for-care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financial tool search. Pros, cons, and when it makes sense. Completely uncontested by senior care directories.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caregiver tax credit 2026</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Low–Medium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/guides/caregiver-tax-credit-deduction</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Annual freshness keyword. Many families don't know they qualify. Featured snippet. Update yearly.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protect assets from nursing home costs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/guides/protect-assets-nursing-home-medicaid</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Estate planning meets elder care. Bridge to elder law attorney content and potential directory expansion.</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get power of attorney for parent who refuses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/guides/power-of-attorney-parent-refuses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and frightening situation. Almost no quality consumer content. Guardianship process explained plainly.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FMLA be used to care for a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/guides/fmla-caring-for-parent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 volume, zero senior care competition. Employed caregiver audience. Bridge to caregiver stress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life insurance policy for long-term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/guides/life-insurance-for-long-term-care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Hybrid policy search. Growing product category. Financial planner referral opportunity.</w:t>
            </w:r>
          </w:p>
        </w:tc>
      </w:tr>
    </w:tbl>
    <w:p>
      <w:r>
        <w:br w:type="page"/>
      </w:r>
    </w:p>
    <w:p>
      <w:pPr>
        <w:pStyle w:val="Heading1"/>
        <w:pBdr>
          <w:bottom w:val="thick" w:color="0E7C86" w:sz="6" w:space="6"/>
        </w:pBdr>
        <w:spacing w:before="480" w:after="200"/>
      </w:pPr>
      <w:r>
        <w:rPr>
          <w:rFonts w:ascii="Georgia" w:cs="Georgia" w:eastAsia="Georgia" w:hAnsi="Georgia"/>
          <w:b/>
          <w:bCs/>
          <w:color w:val="1A3A5C"/>
          <w:sz w:val="34"/>
          <w:szCs w:val="34"/>
        </w:rPr>
        <w:t xml:space="preserve">5. Unexpected Audiences</w:t>
      </w:r>
    </w:p>
    <w:p>
      <w:pPr>
        <w:spacing w:before="0" w:after="130"/>
        <w:jc w:val="both"/>
      </w:pPr>
      <w:r>
        <w:rPr>
          <w:rFonts w:ascii="Georgia" w:cs="Georgia" w:eastAsia="Georgia" w:hAnsi="Georgia"/>
          <w:b w:val="false"/>
          <w:bCs w:val="false"/>
          <w:i w:val="false"/>
          <w:iCs w:val="false"/>
          <w:color w:val="1C2833"/>
          <w:sz w:val="22"/>
          <w:szCs w:val="22"/>
        </w:rPr>
        <w:t xml:space="preserve">These are people who are not directly placing a parent in memory care but who are in SilverTech's orbit. Their traffic builds domain authority, earns backlinks from unexpected verticals, and expands the brand's reach into audiences that competitors never touch.</w:t>
      </w:r>
    </w:p>
    <w:p>
      <w:pPr>
        <w:spacing w:before="0" w:after="80"/>
      </w:pPr>
      <w:r>
        <w:t xml:space="preserve"/>
      </w:r>
    </w:p>
    <w:p>
      <w:pPr>
        <w:pStyle w:val="Heading2"/>
        <w:spacing w:before="320" w:after="120"/>
      </w:pPr>
      <w:r>
        <w:rPr>
          <w:rFonts w:ascii="Georgia" w:cs="Georgia" w:eastAsia="Georgia" w:hAnsi="Georgia"/>
          <w:b/>
          <w:bCs/>
          <w:color w:val="0E7C86"/>
          <w:sz w:val="24"/>
          <w:szCs w:val="24"/>
        </w:rPr>
        <w:t xml:space="preserve">5A — The Employed Caregiver (HR / Workplace angle)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I use FMLA to care for a parent with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/guides/fmla-dementia-caregiver</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legal question. Vast audience. No senior care competition. Earns backlinks from HR and employment law sites.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can my employer fire me for caring for sick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/guides/employment-rights-family-caregiver</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 anxiety employment question. ADA and FMLA intersection. Zero senior care competition.</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talk to boss about caring for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/guides/talking-to-employer-about-caregiving</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Practical workplace guide. High sharing in professional networks. LinkedIn traffic opportunity.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supporting employees who are caregivers HR</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/guides/supporting-caregiver-employees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HR professional search. B2B brand positioning. EAP partnership opportunity.</w:t>
            </w:r>
          </w:p>
        </w:tc>
      </w:tr>
    </w:tbl>
    <w:p>
      <w:pPr>
        <w:spacing w:before="0" w:after="80"/>
      </w:pPr>
      <w:r>
        <w:t xml:space="preserve"/>
      </w:r>
    </w:p>
    <w:p>
      <w:pPr>
        <w:pStyle w:val="Heading2"/>
        <w:spacing w:before="320" w:after="120"/>
      </w:pPr>
      <w:r>
        <w:rPr>
          <w:rFonts w:ascii="Georgia" w:cs="Georgia" w:eastAsia="Georgia" w:hAnsi="Georgia"/>
          <w:b/>
          <w:bCs/>
          <w:color w:val="0E7C86"/>
          <w:sz w:val="24"/>
          <w:szCs w:val="24"/>
        </w:rPr>
        <w:t xml:space="preserve">5B — Planning Ahead (40–55 year olds watching their parents)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C0392B"/>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long-term care insurance is it worth it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/guides/long-term-care-insurance-worth-it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Personal finance question. High volume. The person asking is 50 and scared. Bridge to LTC insurance and cost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what age to buy long-term care insurance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/guides/best-age-to-buy-long-term-care-insurance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answerable, low competition. Featured snippet. Drives LTC insurance content cluster.</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reduce dementia risk</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6K–15K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Low–Medium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/guides/how-to-reduce-dementia-risk</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Health content for the worried-well. Earns backlinks from health/wellness sites. Long-term brand building.</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plan financially for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/guides/financial-planning-for-dementia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 intent from planners. Bridge to cost calculator and financial guide cluster.</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what is a POLST form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/guides/what-is-a-polst-form</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Advance directive content. Low competition. Earns backlinks from medical and legal sites.</w:t>
            </w:r>
          </w:p>
        </w:tc>
      </w:tr>
    </w:tbl>
    <w:p>
      <w:pPr>
        <w:spacing w:before="0" w:after="80"/>
      </w:pPr>
      <w:r>
        <w:t xml:space="preserve"/>
      </w:r>
    </w:p>
    <w:p>
      <w:pPr>
        <w:pStyle w:val="Heading2"/>
        <w:spacing w:before="320" w:after="120"/>
      </w:pPr>
      <w:r>
        <w:rPr>
          <w:rFonts w:ascii="Georgia" w:cs="Georgia" w:eastAsia="Georgia" w:hAnsi="Georgia"/>
          <w:b/>
          <w:bCs/>
          <w:color w:val="0E7C86"/>
          <w:sz w:val="24"/>
          <w:szCs w:val="24"/>
        </w:rPr>
        <w:t xml:space="preserve">5C — Physicians, Social Workers &amp; Referrers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resources for families after dementia diagnosis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/guides/family-resources-after-dementia-diagnosis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Social workers search this to find materials for patients. If SilverTech ranks here, it gets recommended by professionals.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refer patient to memory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500–1K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/guides/referring-patient-to-memory-care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Low volume, extremely high-influence audience. One social worker converts dozens of families.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27AE60"/>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memory care vs skilled nursing for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/guides/memory-care-vs-skilled-nursing-dementia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Clinical distinction question. Professional and family audience both. Earns medical backlinks.</w:t>
            </w:r>
          </w:p>
        </w:tc>
      </w:tr>
    </w:tbl>
    <w:p>
      <w:r>
        <w:br w:type="page"/>
      </w:r>
    </w:p>
    <w:p>
      <w:pPr>
        <w:pStyle w:val="Heading1"/>
        <w:pBdr>
          <w:bottom w:val="thick" w:color="6C3483" w:sz="6" w:space="6"/>
        </w:pBdr>
        <w:spacing w:before="480" w:after="200"/>
      </w:pPr>
      <w:r>
        <w:rPr>
          <w:rFonts w:ascii="Georgia" w:cs="Georgia" w:eastAsia="Georgia" w:hAnsi="Georgia"/>
          <w:b/>
          <w:bCs/>
          <w:color w:val="6C3483"/>
          <w:sz w:val="34"/>
          <w:szCs w:val="34"/>
        </w:rPr>
        <w:t xml:space="preserve">6. Emotional Breaking Point — Deep Expansion</w:t>
      </w:r>
    </w:p>
    <w:p>
      <w:pPr>
        <w:pBdr>
          <w:top w:val="single" w:color="6C3483" w:sz="5"/>
          <w:bottom w:val="single" w:color="6C3483" w:sz="5"/>
          <w:left w:val="thick" w:color="6C3483" w:sz="12"/>
        </w:pBdr>
        <w:spacing w:before="180" w:after="180"/>
        <w:ind w:left="500" w:right="500"/>
      </w:pPr>
      <w:r>
        <w:rPr>
          <w:rFonts w:ascii="Georgia" w:cs="Georgia" w:eastAsia="Georgia" w:hAnsi="Georgia"/>
          <w:i/>
          <w:iCs/>
          <w:color w:val="2C3E50"/>
          <w:sz w:val="22"/>
          <w:szCs w:val="22"/>
        </w:rPr>
        <w:t xml:space="preserve">This is the most underexplored and most loyalty-generating category in the entire strategy. No senior care directory addresses these searches. Most competitors don't even know they exist. The person searching these terms is SilverTech's customer — and they need a human voice, not a facility listing.</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Families managing a parent's dementia don't search 'memory care placement' when they're at their breaking point. They search in the language of how they feel. The content that meets them there — honestly, without judgment — creates a level of trust that no amount of paid advertising can replicate.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These are the searches happening at 1am. At the end of a terrible day. After the fourth fall this month, after the parent didn't recognize them, after the argument with a sibling, after doing math and realizing they can't afford what they're describing. The person searching is exhausted and afraid. The resource that helps them is the one they'll send to every friend in the same situation.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800"/>
        <w:gridCol w:w="900"/>
        <w:gridCol w:w="700"/>
        <w:gridCol w:w="2000"/>
        <w:gridCol w:w="2280"/>
      </w:tblGrid>
      <w:tr>
        <w:tc>
          <w:tcPr>
            <w:tcW w:type="dxa" w:w="6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28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Keyword / Search Query</w:t>
            </w:r>
          </w:p>
        </w:tc>
        <w:tc>
          <w:tcPr>
            <w:tcW w:type="dxa" w:w="9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Vol/mo</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20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228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Content Angle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guilt about putting parent in memory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4K–10K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/guides/guilt-about-placing-parent-in-memory-care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THE most important page in this category. Validates the decision, addresses the guilt mechanism, reframes placement as an act of love. Will be the most-shared article on the site.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am I a bad person for putting my mom in a home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/guides/not-a-bad-person-for-memory-care-placement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Exact-match vulnerable search. Short, warm, empathetic. High sharing. Can redirect to the guilt guide or stand alone.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feeling like I abandoned my parent in memory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/guides/feeling-like-you-abandoned-parent-memory-care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Post-placement guilt. Different emotional register than pre-placement. Covers the first weeks and how the guilt changes over time.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stop feeling guilty about nursing home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3K–6K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/guides/how-to-stop-feeling-guilty-nursing-home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Slightly different query than placement guilt — catches people already post-placement who are struggling with ongoing guilt. Bridge to visiting guide.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grief while parent is still alive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/guides/grief-while-parent-is-still-alive-dementia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Anticipatory grief / ambiguous loss. Profound emotional content. Earns backlinks from psychology, grief counseling, and social work publications. One of the most powerful pages SilverTech can publish.</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my parent doesn't recognize me anymore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/guides/parent-no-longer-recognizes-you-dementia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One of the most devastating moments in dementia. High search volume, zero senior care competition. This page will be bookmarked and shared for years.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mourning someone who is still alive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/guides/mourning-someone-still-alive-dementia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Broader grief search that pulls non-dementia audience too. The answer is about dementia caregiving. Backlink magnet from grief/mental health sites.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dementia and loss of personality</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/guides/dementia-personality-change-grief</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FTD-specific but also general. Grieving the person your parent was before the disease. Deeply resonant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I miss who my parent used to be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/guides/missing-who-parent-used-to-be-dementia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Conversational search. The person typing this is devastated. Human-voiced content. High sharing. Bridge to grief resources.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I resent caring for my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/guides/caregiver-resentment-toward-parent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Nobody talks about this. Caregiver resentment is universal and deeply shaming. The resource that normalizes it earns lifetime loyalty. Bridge to burnout content and care options.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I can't do this anymore caring for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2K–6K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/guides/caregiver-at-breaking-point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The bottom of the valley search. Validation first, options second. This page has the highest placement-conversion potential of any emotional content because the person is done.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caregiver anger toward dementia patient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1K–3K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/guides/caregiver-anger-toward-parent-with-dementia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Deeply shaming experience. Most caregivers have it. Almost no content addresses it honestly. Build trust with radical honesty.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I love my parent but I can't stand being around them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/guides/loving-parent-with-dementia-but-struggling</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Extreme specificity signals extreme pain. The person searching this exact phrase needs to feel not alone immediately.</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sibling not helping with parent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/guides/sibling-not-helping-parent-care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One of the most universally searched caregiver topics. Covers the resentment, the conversation, the intervention, and when to stop trying to get buy-in and just act.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to get siblings to help with elderly parent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/guides/getting-siblings-to-help-elderly-parent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Companion page to above — solution-focused. Practical scripts, family meeting structure, when to bring in a mediator.</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sibling disagrees about memory care placement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/guides/sibling-disagreement-memory-care-placement</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Specific decision-stage conflict. Covers the family dynamics, legal authority, and when one person has to act alone.</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family conflict over parent with dementia</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/guides/family-conflict-parent-with-dementia</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Broader family systems content. Earns backlinks from family therapy and social work sites.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no one understands what I'm going through as a caregiver</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/guides/caregiver-isolation-and-loneliness</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Isolation is a primary driver of caregiver health crises. Warm, community-building content. Bridge to support group resources.</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caregiver depression symptoms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Low–Medium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/guides/caregiver-depression-signs-and-help</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 volume. Earns backlinks from mental health sites. Clear bridge to self-care and care option content.</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my whole life revolves around my parent's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/guides/losing-yourself-to-caregiving</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Identity loss in caregiving. Deeply resonant. Connects to caregiver burnout and placing a parent as a form of self-preservation.</w:t>
            </w:r>
          </w:p>
        </w:tc>
      </w:tr>
      <w:tr>
        <w:tc>
          <w:tcPr>
            <w:tcW w:type="dxa" w:w="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6C3483"/>
                <w:sz w:val="19"/>
                <w:szCs w:val="19"/>
              </w:rPr>
              <w:t xml:space="preserve">P3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how do I grieve after placing parent in memory care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1K–2K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iCs/>
                <w:color w:val="0E7C86"/>
                <w:sz w:val="19"/>
                <w:szCs w:val="19"/>
              </w:rPr>
              <w:t xml:space="preserve">/guides/grief-after-placing-parent-in-memory-care</w:t>
            </w:r>
          </w:p>
        </w:tc>
        <w:tc>
          <w:tcPr>
            <w:tcW w:type="dxa" w:w="2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Post-placement grief is real and almost completely unaddressed. High loyalty content. Bridge to visiting guide and ongoing support content.</w:t>
            </w:r>
          </w:p>
        </w:tc>
      </w:tr>
    </w:tbl>
    <w:p>
      <w:pPr>
        <w:spacing w:before="0" w:after="80"/>
      </w:pPr>
      <w:r>
        <w:t xml:space="preserve"/>
      </w:r>
    </w:p>
    <w:p>
      <w:pPr>
        <w:spacing w:before="0" w:after="80"/>
      </w:pPr>
      <w:r>
        <w:t xml:space="preserve"/>
      </w:r>
    </w:p>
    <w:p>
      <w:r>
        <w:br w:type="page"/>
      </w:r>
    </w:p>
    <w:p>
      <w:pPr>
        <w:pStyle w:val="Heading1"/>
        <w:pBdr>
          <w:bottom w:val="thick" w:color="6C3483" w:sz="6" w:space="6"/>
        </w:pBdr>
        <w:spacing w:before="480" w:after="200"/>
      </w:pPr>
      <w:r>
        <w:rPr>
          <w:rFonts w:ascii="Georgia" w:cs="Georgia" w:eastAsia="Georgia" w:hAnsi="Georgia"/>
          <w:b/>
          <w:bCs/>
          <w:color w:val="6C3483"/>
          <w:sz w:val="34"/>
          <w:szCs w:val="34"/>
        </w:rPr>
        <w:t xml:space="preserve">Deep Content Angles: Emotional Breaking Point Top 5</w:t>
      </w:r>
    </w:p>
    <w:p>
      <w:pPr>
        <w:spacing w:before="0" w:after="130"/>
        <w:jc w:val="both"/>
      </w:pPr>
      <w:r>
        <w:rPr>
          <w:rFonts w:ascii="Georgia" w:cs="Georgia" w:eastAsia="Georgia" w:hAnsi="Georgia"/>
          <w:b w:val="false"/>
          <w:bCs w:val="false"/>
          <w:i w:val="false"/>
          <w:iCs w:val="false"/>
          <w:color w:val="1C2833"/>
          <w:sz w:val="22"/>
          <w:szCs w:val="22"/>
        </w:rPr>
        <w:t xml:space="preserve">These five pages deserve the most editorial investment in the entire strategy. They are not transactional. They are relationship-defining. The families who find these pages will remember SilverTech for the rest of the caregiving journey — and beyond it.</w:t>
      </w:r>
    </w:p>
    <w:p>
      <w:pPr>
        <w:spacing w:before="0" w:after="80"/>
      </w:pPr>
      <w:r>
        <w:t xml:space="preserve"/>
      </w:r>
    </w:p>
    <w:p>
      <w:pPr>
        <w:spacing w:before="320" w:after="60"/>
      </w:pPr>
      <w:r>
        <w:rPr>
          <w:rFonts w:ascii="Arial" w:cs="Arial" w:eastAsia="Arial" w:hAnsi="Arial"/>
          <w:b/>
          <w:bCs/>
          <w:color w:val="6C3483"/>
          <w:spacing w:val="50"/>
          <w:sz w:val="16"/>
          <w:szCs w:val="16"/>
        </w:rPr>
        <w:t xml:space="preserve">PAGE 1 — THE GUILT PAGE</w:t>
      </w:r>
    </w:p>
    <w:p>
      <w:pPr>
        <w:pStyle w:val="Heading2"/>
        <w:spacing w:before="320" w:after="120"/>
      </w:pPr>
      <w:r>
        <w:rPr>
          <w:rFonts w:ascii="Georgia" w:cs="Georgia" w:eastAsia="Georgia" w:hAnsi="Georgia"/>
          <w:b/>
          <w:bCs/>
          <w:color w:val="1A3A5C"/>
          <w:sz w:val="24"/>
          <w:szCs w:val="24"/>
        </w:rPr>
        <w:t xml:space="preserve">Slug: /guides/guilt-about-placing-parent-in-memory-care</w:t>
      </w:r>
    </w:p>
    <w:p>
      <w:pPr>
        <w:spacing w:before="0" w:after="130"/>
        <w:jc w:val="both"/>
      </w:pPr>
      <w:r>
        <w:rPr>
          <w:rFonts w:ascii="Georgia" w:cs="Georgia" w:eastAsia="Georgia" w:hAnsi="Georgia"/>
          <w:b w:val="false"/>
          <w:bCs w:val="false"/>
          <w:i w:val="false"/>
          <w:iCs w:val="false"/>
          <w:color w:val="1C2833"/>
          <w:sz w:val="22"/>
          <w:szCs w:val="22"/>
        </w:rPr>
        <w:t xml:space="preserve">Primary keyword: guilt about putting parent in memory care | Est. 4K–10K/mo | Competition: None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Why this page wins: Every single family who places a parent in memory care feels guilt. It is not an edge case. It is the universal experience. And yet there is almost no content on this topic written with genuine empathy, psychological honesty, and practical support. The senior care sites that do mention it bury it in a paragraph inside a placement guide. It deserves its own page, its own URL, its own depth.</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Angle: Do not write this as a reassurance piece ('here are 5 reasons you shouldn't feel guilty'). That is condescending and doesn't work. Write it as a validation piece — naming the guilt, explaining where it comes from psychologically (the broken promise of 'I'll never put you in a home,' the grief that looks like guilt, the cultural narrative about filial obligation), and then walking through how caregivers who have been through it describe the shift in perspective. Real voices. Real experience.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Structure: Open with the feeling, not the reassurance. Cover: what the guilt actually is (anticipatory grief + cultural conditioning + broken self-promise). Why the guilt is lying to you. What 'choosing memory care' actually means as an act of love. How to handle the parent who says 'please don't put me in a home' — the hardest sentence in caregiving. Post-placement guilt vs. pre-placement guilt. How the guilt changes over time.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Conversion: At the end of this page, the family is emotionally ready to look at options. The CTA is not 'find a facility.' It is 'when you're ready, here's how to evaluate your options' — with a soft link to the tour checklist and directory. The conversion happens naturally because the page did the emotional work first.</w:t>
      </w:r>
    </w:p>
    <w:p>
      <w:pPr>
        <w:spacing w:before="0" w:after="80"/>
      </w:pPr>
      <w:r>
        <w:t xml:space="preserve"/>
      </w:r>
    </w:p>
    <w:p>
      <w:pPr>
        <w:pBdr>
          <w:top w:val="single" w:color="6C3483" w:sz="5"/>
          <w:bottom w:val="single" w:color="6C3483" w:sz="5"/>
          <w:left w:val="thick" w:color="6C3483" w:sz="12"/>
        </w:pBdr>
        <w:spacing w:before="180" w:after="180"/>
        <w:ind w:left="500" w:right="500"/>
      </w:pPr>
      <w:r>
        <w:rPr>
          <w:rFonts w:ascii="Georgia" w:cs="Georgia" w:eastAsia="Georgia" w:hAnsi="Georgia"/>
          <w:i/>
          <w:iCs/>
          <w:color w:val="2C3E50"/>
          <w:sz w:val="22"/>
          <w:szCs w:val="22"/>
        </w:rPr>
        <w:t xml:space="preserve">Expected outcomes: Most-shared article on the site. Backlinks from caregiver advocacy orgs, social work publications, hospice sites, grief counseling resources. High return visit rate. Email subscription conversion.</w:t>
      </w:r>
    </w:p>
    <w:p>
      <w:pPr>
        <w:spacing w:before="0" w:after="80"/>
      </w:pPr>
      <w:r>
        <w:t xml:space="preserve"/>
      </w:r>
    </w:p>
    <w:p>
      <w:pPr>
        <w:spacing w:before="320" w:after="60"/>
      </w:pPr>
      <w:r>
        <w:rPr>
          <w:rFonts w:ascii="Arial" w:cs="Arial" w:eastAsia="Arial" w:hAnsi="Arial"/>
          <w:b/>
          <w:bCs/>
          <w:color w:val="6C3483"/>
          <w:spacing w:val="50"/>
          <w:sz w:val="16"/>
          <w:szCs w:val="16"/>
        </w:rPr>
        <w:t xml:space="preserve">PAGE 2 — THE GRIEF PAGE</w:t>
      </w:r>
    </w:p>
    <w:p>
      <w:pPr>
        <w:pStyle w:val="Heading2"/>
        <w:spacing w:before="320" w:after="120"/>
      </w:pPr>
      <w:r>
        <w:rPr>
          <w:rFonts w:ascii="Georgia" w:cs="Georgia" w:eastAsia="Georgia" w:hAnsi="Georgia"/>
          <w:b/>
          <w:bCs/>
          <w:color w:val="1A3A5C"/>
          <w:sz w:val="24"/>
          <w:szCs w:val="24"/>
        </w:rPr>
        <w:t xml:space="preserve">Slug: /guides/grief-while-parent-is-still-alive-dementia</w:t>
      </w:r>
    </w:p>
    <w:p>
      <w:pPr>
        <w:spacing w:before="0" w:after="130"/>
        <w:jc w:val="both"/>
      </w:pPr>
      <w:r>
        <w:rPr>
          <w:rFonts w:ascii="Georgia" w:cs="Georgia" w:eastAsia="Georgia" w:hAnsi="Georgia"/>
          <w:b w:val="false"/>
          <w:bCs w:val="false"/>
          <w:i w:val="false"/>
          <w:iCs w:val="false"/>
          <w:color w:val="1C2833"/>
          <w:sz w:val="22"/>
          <w:szCs w:val="22"/>
        </w:rPr>
        <w:t xml:space="preserve">Primary keyword: grief while parent is still alive | Est. 2K–5K/mo | Competition: None in senior care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Why this page wins: 'Ambiguous loss' — the grief of losing someone who is still physically present — is a recognized psychological phenomenon documented by researcher Pauline Boss. It is the defining emotional experience of dementia caregiving. Families grieve the parent who called them by the right name, who remembered their wedding, who gave them advice. They grieve this while the person is still alive, which means the grief has no cultural container — there is no funeral, no acknowledged loss, no permission to mourn.</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Angle: Name the phenomenon. Validate it. Do not rush to 'how to cope.' The first section should simply confirm: this grief is real, it has a name, you are not imagining it, you are not being dramatic, and you are not alone. Then: what ambiguous loss looks like in dementia caregiving. The specific losses that hit hardest (the parent who no longer asks about your life, the one who called you by a sibling's name, the one who has stopped being the person you were fighting with your whole childhood — now you'd give anything to have that fight back). How this grief is different from bereavement grief. What actually helps.</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Distribution potential: Psychology Today, grief counseling blogs, hospice care sites, and caregiver advocacy organizations will link to this page. It is the kind of content that gets shared by therapists with their clients. That audience — therapists who work with caregivers — is a backlink and referral source of enormous value.</w:t>
      </w:r>
    </w:p>
    <w:p>
      <w:pPr>
        <w:spacing w:before="0" w:after="80"/>
      </w:pPr>
      <w:r>
        <w:t xml:space="preserve"/>
      </w:r>
    </w:p>
    <w:p>
      <w:pPr>
        <w:spacing w:before="320" w:after="60"/>
      </w:pPr>
      <w:r>
        <w:rPr>
          <w:rFonts w:ascii="Arial" w:cs="Arial" w:eastAsia="Arial" w:hAnsi="Arial"/>
          <w:b/>
          <w:bCs/>
          <w:color w:val="6C3483"/>
          <w:spacing w:val="50"/>
          <w:sz w:val="16"/>
          <w:szCs w:val="16"/>
        </w:rPr>
        <w:t xml:space="preserve">PAGE 3 — THE RESENTMENT PAGE</w:t>
      </w:r>
    </w:p>
    <w:p>
      <w:pPr>
        <w:pStyle w:val="Heading2"/>
        <w:spacing w:before="320" w:after="120"/>
      </w:pPr>
      <w:r>
        <w:rPr>
          <w:rFonts w:ascii="Georgia" w:cs="Georgia" w:eastAsia="Georgia" w:hAnsi="Georgia"/>
          <w:b/>
          <w:bCs/>
          <w:color w:val="1A3A5C"/>
          <w:sz w:val="24"/>
          <w:szCs w:val="24"/>
        </w:rPr>
        <w:t xml:space="preserve">Slug: /guides/caregiver-resentment-toward-parent</w:t>
      </w:r>
    </w:p>
    <w:p>
      <w:pPr>
        <w:spacing w:before="0" w:after="130"/>
        <w:jc w:val="both"/>
      </w:pPr>
      <w:r>
        <w:rPr>
          <w:rFonts w:ascii="Georgia" w:cs="Georgia" w:eastAsia="Georgia" w:hAnsi="Georgia"/>
          <w:b w:val="false"/>
          <w:bCs w:val="false"/>
          <w:i w:val="false"/>
          <w:iCs w:val="false"/>
          <w:color w:val="1C2833"/>
          <w:sz w:val="22"/>
          <w:szCs w:val="22"/>
        </w:rPr>
        <w:t xml:space="preserve">Primary keyword: I resent caring for my parent | Est. 2K–5K/mo | Competition: None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Why this page wins: Caregiver resentment is one of the most universal and least discussed experiences in elder care. The social narrative around caregiving is relentlessly noble — sacrifice, love, duty. The reality includes exhaustion, resentment, anger, and grief. Caregivers who feel resentment almost universally believe this makes them bad people. The shame compounds the exhaustion.</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Angle: Lead with radical honesty. The first paragraph should say, plainly: if you resent your parent right now, you are not a bad person. You are a human being running on empty. Then: where caregiver resentment comes from (the asymmetry of the relationship — you are giving, they are taking, the disease is taking more, and there is no reciprocity anymore). The difference between resenting the situation and resenting the person. What the resentment is telling you about your own needs. How resentment becomes the loudest signal that something in the care arrangement needs to change.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Conversion: This is the most direct emotional path to placement consideration. The family that is resentful is the family that is at or past capacity. The page validates the resentment, then gently introduces the idea that getting professional help is not abandonment — it is the thing that allows them to love their parent again without the exhaustion and resentment in the way.</w:t>
      </w:r>
    </w:p>
    <w:p>
      <w:pPr>
        <w:spacing w:before="0" w:after="80"/>
      </w:pPr>
      <w:r>
        <w:t xml:space="preserve"/>
      </w:r>
    </w:p>
    <w:p>
      <w:pPr>
        <w:spacing w:before="320" w:after="60"/>
      </w:pPr>
      <w:r>
        <w:rPr>
          <w:rFonts w:ascii="Arial" w:cs="Arial" w:eastAsia="Arial" w:hAnsi="Arial"/>
          <w:b/>
          <w:bCs/>
          <w:color w:val="6C3483"/>
          <w:spacing w:val="50"/>
          <w:sz w:val="16"/>
          <w:szCs w:val="16"/>
        </w:rPr>
        <w:t xml:space="preserve">PAGE 4 — THE SIBLING PAGE</w:t>
      </w:r>
    </w:p>
    <w:p>
      <w:pPr>
        <w:pStyle w:val="Heading2"/>
        <w:spacing w:before="320" w:after="120"/>
      </w:pPr>
      <w:r>
        <w:rPr>
          <w:rFonts w:ascii="Georgia" w:cs="Georgia" w:eastAsia="Georgia" w:hAnsi="Georgia"/>
          <w:b/>
          <w:bCs/>
          <w:color w:val="1A3A5C"/>
          <w:sz w:val="24"/>
          <w:szCs w:val="24"/>
        </w:rPr>
        <w:t xml:space="preserve">Slug: /guides/sibling-not-helping-parent-care</w:t>
      </w:r>
    </w:p>
    <w:p>
      <w:pPr>
        <w:spacing w:before="0" w:after="130"/>
        <w:jc w:val="both"/>
      </w:pPr>
      <w:r>
        <w:rPr>
          <w:rFonts w:ascii="Georgia" w:cs="Georgia" w:eastAsia="Georgia" w:hAnsi="Georgia"/>
          <w:b w:val="false"/>
          <w:bCs w:val="false"/>
          <w:i w:val="false"/>
          <w:iCs w:val="false"/>
          <w:color w:val="1C2833"/>
          <w:sz w:val="22"/>
          <w:szCs w:val="22"/>
        </w:rPr>
        <w:t xml:space="preserve">Primary keyword: sibling not helping with parent care | Est. 4K–9K/mo | Competition: Generic life advice sites</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Why this page wins: High volume, specific pain point, and the anger in this search is real. The person typing 'sibling not helping with parent care' has been the primary caregiver for months or years while a sibling lives their life untouched by the burden. This is one of the most common family dynamics in elder care and one of the most damaging to the caregiver's mental health.</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Angle: Do not be neutral. The person searching is the one doing the work. Start with validation. Then: why siblings disengage (geographic distance as permission to be absent, the 'well you OFFERED to do it' dynamic, the sibling who shows up for a weekend and declares everything is fine, denial as a coping mechanism). The difference between a sibling who won't help and a sibling who can't. Practical approaches: the family meeting structure, dividing responsibilities by type not quantity, financial contribution when physical contribution isn't possible. When the conversation is futile and the primary caregiver needs to act alone.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Bridge to SilverTech: The caregiver who is doing this alone is in acute need of relief. Professional memory care is framed here as the solution that removes the dependency on a sibling who isn't coming — a way out of an unequal dynamic.</w:t>
      </w:r>
    </w:p>
    <w:p>
      <w:pPr>
        <w:spacing w:before="0" w:after="80"/>
      </w:pPr>
      <w:r>
        <w:t xml:space="preserve"/>
      </w:r>
    </w:p>
    <w:p>
      <w:pPr>
        <w:spacing w:before="320" w:after="60"/>
      </w:pPr>
      <w:r>
        <w:rPr>
          <w:rFonts w:ascii="Arial" w:cs="Arial" w:eastAsia="Arial" w:hAnsi="Arial"/>
          <w:b/>
          <w:bCs/>
          <w:color w:val="6C3483"/>
          <w:spacing w:val="50"/>
          <w:sz w:val="16"/>
          <w:szCs w:val="16"/>
        </w:rPr>
        <w:t xml:space="preserve">PAGE 5 — THE BREAKING POINT PAGE</w:t>
      </w:r>
    </w:p>
    <w:p>
      <w:pPr>
        <w:pStyle w:val="Heading2"/>
        <w:spacing w:before="320" w:after="120"/>
      </w:pPr>
      <w:r>
        <w:rPr>
          <w:rFonts w:ascii="Georgia" w:cs="Georgia" w:eastAsia="Georgia" w:hAnsi="Georgia"/>
          <w:b/>
          <w:bCs/>
          <w:color w:val="1A3A5C"/>
          <w:sz w:val="24"/>
          <w:szCs w:val="24"/>
        </w:rPr>
        <w:t xml:space="preserve">Slug: /guides/caregiver-at-breaking-point</w:t>
      </w:r>
    </w:p>
    <w:p>
      <w:pPr>
        <w:spacing w:before="0" w:after="130"/>
        <w:jc w:val="both"/>
      </w:pPr>
      <w:r>
        <w:rPr>
          <w:rFonts w:ascii="Georgia" w:cs="Georgia" w:eastAsia="Georgia" w:hAnsi="Georgia"/>
          <w:b w:val="false"/>
          <w:bCs w:val="false"/>
          <w:i w:val="false"/>
          <w:iCs w:val="false"/>
          <w:color w:val="1C2833"/>
          <w:sz w:val="22"/>
          <w:szCs w:val="22"/>
        </w:rPr>
        <w:t xml:space="preserve">Primary keyword: I can't do this anymore caring for parent | Est. 2K–6K/mo | Competition: None</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Why this page wins: This is the page someone finds at their absolute worst moment. They have typed the most vulnerable sentence of their caregiving experience. The content that meets this search must be human first, practical second, and conversion-focused a distant third.</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Angle: Open with acknowledgment, not advice. 'If you are searching this phrase, you are not being dramatic. What you are feeling is real. It happens to almost every caregiver at some point, and the fact that you've reached it doesn't mean you've failed — it means you've been carrying something very heavy for a very long time.' Then: what the breaking point actually is (not a character flaw, a system overload). Immediate relief options — respite care, emergency in-home aide, adult day programs. Longer-term options — memory care placement explained without judgment. What 'getting help' actually looks like for a family in this position.</w:t>
      </w:r>
    </w:p>
    <w:p>
      <w:pPr>
        <w:spacing w:before="0" w:after="80"/>
      </w:pPr>
      <w:r>
        <w:t xml:space="preserve"/>
      </w:r>
    </w:p>
    <w:p>
      <w:pPr>
        <w:spacing w:before="0" w:after="130"/>
        <w:jc w:val="both"/>
      </w:pPr>
      <w:r>
        <w:rPr>
          <w:rFonts w:ascii="Georgia" w:cs="Georgia" w:eastAsia="Georgia" w:hAnsi="Georgia"/>
          <w:b w:val="false"/>
          <w:bCs w:val="false"/>
          <w:i w:val="false"/>
          <w:iCs w:val="false"/>
          <w:color w:val="1C2833"/>
          <w:sz w:val="22"/>
          <w:szCs w:val="22"/>
        </w:rPr>
        <w:t xml:space="preserve">This page should end with a quiet, warm invitation: 'When you're ready to look at what professional care could look like for your family, this is where to start' — with a link to the directory. Not a hard sell. Not a form. A door, left open.</w:t>
      </w:r>
    </w:p>
    <w:p>
      <w:pPr>
        <w:spacing w:before="0" w:after="80"/>
      </w:pPr>
      <w:r>
        <w:t xml:space="preserve"/>
      </w:r>
    </w:p>
    <w:p>
      <w:pPr>
        <w:pBdr>
          <w:top w:val="single" w:color="6C3483" w:sz="5"/>
          <w:bottom w:val="single" w:color="6C3483" w:sz="5"/>
          <w:left w:val="thick" w:color="6C3483" w:sz="12"/>
        </w:pBdr>
        <w:spacing w:before="180" w:after="180"/>
        <w:ind w:left="500" w:right="500"/>
      </w:pPr>
      <w:r>
        <w:rPr>
          <w:rFonts w:ascii="Georgia" w:cs="Georgia" w:eastAsia="Georgia" w:hAnsi="Georgia"/>
          <w:i/>
          <w:iCs/>
          <w:color w:val="2C3E50"/>
          <w:sz w:val="22"/>
          <w:szCs w:val="22"/>
        </w:rPr>
        <w:t xml:space="preserve">The five emotional breaking point pages together represent the most defensible content moat SilverTech can build. Competitors who try to replicate them will produce clinical, hedged versions. SilverTech's versions, written with genuine humanity, will dominate the search results and the trust economy.</w:t>
      </w:r>
    </w:p>
    <w:p>
      <w:pPr>
        <w:spacing w:before="0" w:after="80"/>
      </w:pPr>
      <w:r>
        <w:t xml:space="preserve"/>
      </w:r>
    </w:p>
    <w:p>
      <w:r>
        <w:br w:type="page"/>
      </w:r>
    </w:p>
    <w:p>
      <w:pPr>
        <w:pStyle w:val="Heading1"/>
        <w:pBdr>
          <w:bottom w:val="thick" w:color="0E7C86" w:sz="6" w:space="6"/>
        </w:pBdr>
        <w:spacing w:before="480" w:after="200"/>
      </w:pPr>
      <w:r>
        <w:rPr>
          <w:rFonts w:ascii="Georgia" w:cs="Georgia" w:eastAsia="Georgia" w:hAnsi="Georgia"/>
          <w:b/>
          <w:bCs/>
          <w:color w:val="1A3A5C"/>
          <w:sz w:val="34"/>
          <w:szCs w:val="34"/>
        </w:rPr>
        <w:t xml:space="preserve">Master Priority Queue: Top 30 Build-First Pages</w:t>
      </w:r>
    </w:p>
    <w:p>
      <w:pPr>
        <w:spacing w:before="0" w:after="130"/>
        <w:jc w:val="both"/>
      </w:pPr>
      <w:r>
        <w:rPr>
          <w:rFonts w:ascii="Georgia" w:cs="Georgia" w:eastAsia="Georgia" w:hAnsi="Georgia"/>
          <w:b w:val="false"/>
          <w:bCs w:val="false"/>
          <w:i w:val="false"/>
          <w:iCs w:val="false"/>
          <w:color w:val="1C2833"/>
          <w:sz w:val="22"/>
          <w:szCs w:val="22"/>
        </w:rPr>
        <w:t xml:space="preserve">Across all six categories, these are the 30 pages with the best combination of search volume, competition level, and conversion path. Execute in order if bandwidth allows.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
        <w:gridCol w:w="3040"/>
        <w:gridCol w:w="1100"/>
        <w:gridCol w:w="700"/>
        <w:gridCol w:w="3560"/>
      </w:tblGrid>
      <w:tr>
        <w:tc>
          <w:tcPr>
            <w:tcW w:type="dxa" w:w="4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w:t>
            </w:r>
          </w:p>
        </w:tc>
        <w:tc>
          <w:tcPr>
            <w:tcW w:type="dxa" w:w="304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Slug</w:t>
            </w:r>
          </w:p>
        </w:tc>
        <w:tc>
          <w:tcPr>
            <w:tcW w:type="dxa" w:w="11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Volume</w:t>
            </w:r>
          </w:p>
        </w:tc>
        <w:tc>
          <w:tcPr>
            <w:tcW w:type="dxa" w:w="70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Comp</w:t>
            </w:r>
          </w:p>
        </w:tc>
        <w:tc>
          <w:tcPr>
            <w:tcW w:type="dxa" w:w="3560"/>
            <w:tcBorders>
              <w:top w:val="single" w:color="D5D8DC" w:sz="1"/>
              <w:left w:val="single" w:color="D5D8DC" w:sz="1"/>
              <w:bottom w:val="single" w:color="D5D8DC" w:sz="1"/>
              <w:right w:val="single" w:color="D5D8D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Why First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/guides/guilt-about-placing-parent-in-memory-care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4K–10K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Most-shared page on the site. Direct placement conversion.</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/guides/does-medicare-cover-memory-care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8K–20K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Highest-volume financial question. Featured snippet target.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3</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/guides/sundowning-confused-at-night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15K–30K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Massive volume, zero senior care competition.</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4</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/guides/sibling-not-helping-parent-care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Universal pain point. High sharing. Converts burnt-out caregivers.</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5</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/guides/taking-car-keys-from-elderly-parent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Safety crisis. Emotional. Zero senior care competition.</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6</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/guides/after-dementia-diagnosis-what-now</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Owns the family from the moment of diagnosis.</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7</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/guides/getting-paid-to-care-for-parent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Financial lifeline most families don't know exists.</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8</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/guides/grief-while-parent-is-still-alive-dementia</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Backlink magnet. Grief/psychology sites will link to this.</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9</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/guides/caregiver-resentment-toward-parent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Radical honesty = radical loyalty. Direct placement conversion.</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10</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/guides/caregiver-at-breaking-point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2K–6K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Highest-urgency conversion page in the strategy.</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11</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/guides/fmla-dementia-caregiver</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Completely unclaimed by any senior care site.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12</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/guides/parent-forgetting-things-normal-or-dementia</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8K–20K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Top pre-diagnosis search. Owns the earliest audience stage.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13</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/guides/va-benefits-dementia-care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Aid &amp; Attendance benefit. Millions eligible, most don't know.</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14</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/guides/dementia-vs-alzheimers-difference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8K–20K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Featured snippet. Hub for disease-specific content.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15</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/guides/parent-no-longer-recognizes-you-dementia</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Most emotionally devastating dementia moment. Zero competition.</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16</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/guides/emergency-memory-care-placement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Highest direct conversion rate. Crisis = ready to act.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17</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/guides/dementia-aggression-toward-family</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3K–8K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Primary placement trigger. Almost no quality content.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18</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/guides/elderly-parent-refusing-to-bathe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Hygiene refusal. Pre-diagnosis signal AND caregiver pain point.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19</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/guides/how-to-pay-for-memory-care-no-money</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Desperation financial search. Full Medicaid/VA bridge.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20</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922B21"/>
                <w:sz w:val="19"/>
                <w:szCs w:val="19"/>
              </w:rPr>
              <w:t xml:space="preserve">P1</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/guides/feeling-like-you-abandoned-parent-memory-care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2K–4K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Post-placement guilt. Drives return visits. Loyalty content.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21</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/guides/mourning-someone-still-alive-dementia</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Pulls non-dementia grief audience too. Backlink magnet.</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22</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/guides/getting-siblings-to-help-elderly-parent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Companion to sibling page. Solution-focused. High volume.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23</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/guides/lewy-body-dementia-what-to-expect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Most underserved dementia diagnosis family audience.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24</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/guides/can-i-leave-dementia-patient-alone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3K–7K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Practical safety question. Stage-specific guidance.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25</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/guides/caregiver-depression-signs-and-help</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Mental health backlinks. High volume. Bridge to care options.</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26</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/guides/frontotemporal-dementia-behaviors</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FTD is massively underserved. Will own the niche.</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27</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/guides/selling-parents-house-to-pay-for-care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4K–9K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Real estate + elder care crossover. Unique territory.</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28</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/guides/long-term-care-insurance-worth-it</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5K–12K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9A7D0A"/>
                <w:sz w:val="19"/>
                <w:szCs w:val="19"/>
              </w:rPr>
              <w:t xml:space="preserve">Med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Planning audience. Personal finance backlinks.</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29</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/guides/how-to-stop-feeling-guilty-nursing-home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3K–6K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Post-placement guilt companion to #1. Return visit driver.</w:t>
            </w:r>
          </w:p>
        </w:tc>
      </w:tr>
      <w:tr>
        <w:tc>
          <w:tcPr>
            <w:tcW w:type="dxa" w:w="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1C2833"/>
                <w:sz w:val="19"/>
                <w:szCs w:val="19"/>
              </w:rPr>
              <w:t xml:space="preserve">30</w:t>
            </w:r>
          </w:p>
        </w:tc>
        <w:tc>
          <w:tcPr>
            <w:tcW w:type="dxa" w:w="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0" w:after="0"/>
            </w:pPr>
            <w:r>
              <w:rPr>
                <w:rFonts w:ascii="Georgia" w:cs="Georgia" w:eastAsia="Georgia" w:hAnsi="Georgia"/>
                <w:b/>
                <w:bCs/>
                <w:i w:val="false"/>
                <w:iCs w:val="false"/>
                <w:color w:val="E67E22"/>
                <w:sz w:val="19"/>
                <w:szCs w:val="19"/>
              </w:rPr>
              <w:t xml:space="preserve">P2</w:t>
            </w:r>
          </w:p>
        </w:tc>
        <w:tc>
          <w:tcPr>
            <w:tcW w:type="dxa" w:w="30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/guides/aging-parent-personality-change</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5D6D7E"/>
                <w:sz w:val="19"/>
                <w:szCs w:val="19"/>
              </w:rPr>
              <w:t xml:space="preserve">2K–5K</w:t>
            </w:r>
          </w:p>
        </w:tc>
        <w:tc>
          <w:tcPr>
            <w:tcW w:type="dxa" w:w="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bCs/>
                <w:i w:val="false"/>
                <w:iCs w:val="false"/>
                <w:color w:val="1E8449"/>
                <w:sz w:val="19"/>
                <w:szCs w:val="19"/>
              </w:rPr>
              <w:t xml:space="preserve">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i w:val="false"/>
                <w:iCs w:val="false"/>
                <w:color w:val="1C2833"/>
                <w:sz w:val="19"/>
                <w:szCs w:val="19"/>
              </w:rPr>
              <w:t xml:space="preserve">FTD pre-diagnosis. Personality change misread as 'just aging.'</w:t>
            </w:r>
          </w:p>
        </w:tc>
      </w:tr>
    </w:tbl>
    <w:p>
      <w:pPr>
        <w:spacing w:before="0" w:after="80"/>
      </w:pPr>
      <w:r>
        <w:t xml:space="preserve"/>
      </w:r>
    </w:p>
    <w:p>
      <w:pPr>
        <w:spacing w:before="0" w:after="80"/>
      </w:pPr>
      <w:r>
        <w:t xml:space="preserve"/>
      </w:r>
    </w:p>
    <w:p>
      <w:pPr>
        <w:pBdr>
          <w:bottom w:val="single" w:color="D5D8DC" w:sz="1" w:space="1"/>
        </w:pBdr>
        <w:spacing w:before="160" w:after="160"/>
      </w:pPr>
      <w:r>
        <w:t xml:space="preserve"/>
      </w:r>
    </w:p>
    <w:p>
      <w:pPr>
        <w:spacing w:before="0" w:after="80"/>
      </w:pPr>
      <w:r>
        <w:t xml:space="preserve"/>
      </w:r>
    </w:p>
    <w:p>
      <w:pPr>
        <w:spacing w:before="0" w:after="80"/>
      </w:pPr>
      <w:r>
        <w:rPr>
          <w:rFonts w:ascii="Arial" w:cs="Arial" w:eastAsia="Arial" w:hAnsi="Arial"/>
          <w:i/>
          <w:iCs/>
          <w:color w:val="5D6D7E"/>
          <w:sz w:val="18"/>
          <w:szCs w:val="18"/>
        </w:rPr>
        <w:t xml:space="preserve">SilverTech Keyword Adjacency Strategy — Unexpected KW Master List  |  February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3A5C"/>
      <w:sz w:val="34"/>
      <w:szCs w:val="34"/>
    </w:rPr>
  </w:style>
  <w:style w:type="paragraph" w:styleId="Heading2">
    <w:name w:val="Heading 2"/>
    <w:basedOn w:val="Normal"/>
    <w:next w:val="Normal"/>
    <w:qFormat/>
    <w:pPr>
      <w:spacing w:before="320" w:after="120"/>
      <w:outlineLvl w:val="1"/>
    </w:pPr>
    <w:rPr>
      <w:rFonts w:ascii="Georgia" w:cs="Georgia" w:eastAsia="Georgia" w:hAnsi="Georgia"/>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2026-02-21T21:17:52.415Z</dcterms:created>
  <dcterms:modified xsi:type="dcterms:W3CDTF">2026-02-21T21:17:52.416Z</dcterms:modified>
</cp:coreProperties>
</file>

<file path=docProps/custom.xml><?xml version="1.0" encoding="utf-8"?>
<Properties xmlns="http://schemas.openxmlformats.org/officeDocument/2006/custom-properties" xmlns:vt="http://schemas.openxmlformats.org/officeDocument/2006/docPropsVTypes"/>
</file>