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类的解析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学生信息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stu.py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本次课主要需要实现类的解析。主要需要实现：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类的解析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类中变量的翻译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类中函数的翻译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完成快速排序的翻译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455B8"/>
    <w:multiLevelType w:val="singleLevel"/>
    <w:tmpl w:val="8CA455B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5YzBhMmM4ZTVlYmQ4NTBhMmRkMDkxZWYzYjhkNDIifQ=="/>
  </w:docVars>
  <w:rsids>
    <w:rsidRoot w:val="27E15717"/>
    <w:rsid w:val="01B25EB5"/>
    <w:rsid w:val="02713CC7"/>
    <w:rsid w:val="0360067B"/>
    <w:rsid w:val="079B2E20"/>
    <w:rsid w:val="08770FC7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0A500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5</TotalTime>
  <ScaleCrop>false</ScaleCrop>
  <LinksUpToDate>false</LinksUpToDate>
  <CharactersWithSpaces>298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2023-12-16T09:53:28Z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DDA10BD1696044858A23A09AFC84DF32</vt:lpwstr>
  </property>
</Properties>
</file>