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楷体" w:hAnsi="楷体" w:eastAsia="楷体"/>
          <w:spacing w:val="100"/>
          <w:sz w:val="48"/>
          <w:u w:val="single"/>
        </w:rPr>
      </w:pPr>
      <w:r>
        <w:rPr>
          <w:rFonts w:hint="eastAsia" w:ascii="楷体" w:hAnsi="楷体" w:eastAsia="楷体"/>
          <w:spacing w:val="100"/>
          <w:sz w:val="48"/>
          <w:u w:val="single"/>
        </w:rPr>
        <w:t>苏州大学实验报告</w:t>
      </w:r>
    </w:p>
    <w:tbl>
      <w:tblPr>
        <w:tblStyle w:val="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>
        <w:trPr>
          <w:cantSplit/>
          <w:jc w:val="center"/>
        </w:trPr>
        <w:tc>
          <w:tcPr>
            <w:tcW w:w="896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院系</w:t>
            </w:r>
          </w:p>
        </w:tc>
        <w:tc>
          <w:tcPr>
            <w:tcW w:w="1829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default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21计科</w:t>
            </w:r>
          </w:p>
        </w:tc>
        <w:tc>
          <w:tcPr>
            <w:tcW w:w="72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>
            <w:pPr>
              <w:spacing w:line="0" w:lineRule="atLeast"/>
              <w:jc w:val="center"/>
              <w:rPr>
                <w:rFonts w:hint="eastAsia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方浩楠</w:t>
            </w:r>
          </w:p>
        </w:tc>
        <w:tc>
          <w:tcPr>
            <w:tcW w:w="72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>
            <w:pPr>
              <w:spacing w:line="0" w:lineRule="atLeast"/>
              <w:jc w:val="center"/>
              <w:rPr>
                <w:rFonts w:hint="default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2127405048</w:t>
            </w:r>
          </w:p>
        </w:tc>
      </w:tr>
      <w:tr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>
            <w:pPr>
              <w:spacing w:line="0" w:lineRule="atLeast"/>
              <w:jc w:val="center"/>
              <w:rPr>
                <w:rFonts w:hint="default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操作系统课程实践</w:t>
            </w:r>
          </w:p>
        </w:tc>
        <w:tc>
          <w:tcPr>
            <w:tcW w:w="72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</w:p>
        </w:tc>
      </w:tr>
      <w:tr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>
            <w:pPr>
              <w:spacing w:line="0" w:lineRule="atLeast"/>
              <w:rPr>
                <w:rFonts w:hint="default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王红玲</w:t>
            </w:r>
          </w:p>
        </w:tc>
        <w:tc>
          <w:tcPr>
            <w:tcW w:w="1440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>
            <w:pPr>
              <w:spacing w:line="0" w:lineRule="atLeast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>
            <w:pPr>
              <w:spacing w:line="0" w:lineRule="atLeast"/>
              <w:jc w:val="center"/>
              <w:rPr>
                <w:rFonts w:hint="default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  <w:lang w:val="en-US" w:eastAsia="zh-CN"/>
              </w:rPr>
              <w:t>2024.3.13</w:t>
            </w:r>
          </w:p>
        </w:tc>
      </w:tr>
    </w:tbl>
    <w:p>
      <w:pPr>
        <w:spacing w:before="100" w:beforeAutospacing="1" w:after="100" w:afterAutospacing="1"/>
        <w:jc w:val="center"/>
        <w:rPr>
          <w:b/>
          <w:bCs/>
          <w:sz w:val="30"/>
        </w:rPr>
        <w:sectPr>
          <w:footerReference r:id="rId3" w:type="default"/>
          <w:footerReference r:id="rId4" w:type="even"/>
          <w:type w:val="continuous"/>
          <w:pgSz w:w="11906" w:h="16838"/>
          <w:pgMar w:top="1134" w:right="1304" w:bottom="1134" w:left="1304" w:header="851" w:footer="992" w:gutter="0"/>
          <w:cols w:space="720" w:num="1"/>
          <w:docGrid w:type="lines" w:linePitch="312" w:charSpace="0"/>
        </w:sectPr>
      </w:pPr>
    </w:p>
    <w:p>
      <w:pPr>
        <w:spacing w:line="0" w:lineRule="atLeast"/>
        <w:jc w:val="center"/>
        <w:rPr>
          <w:b/>
          <w:bCs/>
          <w:sz w:val="10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0" t="0" r="2540" b="0"/>
                <wp:wrapNone/>
                <wp:docPr id="985863497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o:spt="1" style="position:absolute;left:0pt;margin-top:170.75pt;height:595.4pt;width:482.8pt;mso-position-horizontal:center;mso-position-vertical-relative:page;z-index:-251657216;mso-width-relative:page;mso-height-relative:page;" filled="f" stroked="t" coordsize="21600,21600" o:gfxdata="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FgAAAGRy&#10;cy9QSwECFAAUAAAACACHTuJAXOsXh9cAAAAJAQAADwAAAAAAAAABACAAAAA4AAAAZHJzL2Rvd25y&#10;ZXYueG1sUEsBAhQAFAAAAAgAh07iQMtU7/wiAgAAKgQAAA4AAAAAAAAAAQAgAAAAPAEAAGRycy9l&#10;Mm9Eb2MueG1sUEsFBgAAAAAGAAYAWQEAANAFAAAAAA==&#10;">
                <v:fill on="f" focussize="0,0"/>
                <v:stroke color="#000000" miterlimit="8" joinstyle="miter"/>
                <v:imagedata o:title=""/>
                <o:lock v:ext="edit" aspectratio="f"/>
                <w10:anchorlock/>
              </v:rect>
            </w:pict>
          </mc:Fallback>
        </mc:AlternateContent>
      </w:r>
    </w:p>
    <w:tbl>
      <w:tblPr>
        <w:tblStyle w:val="9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6"/>
        <w:gridCol w:w="5929"/>
      </w:tblGrid>
      <w:tr>
        <w:trPr>
          <w:jc w:val="center"/>
        </w:trPr>
        <w:tc>
          <w:tcPr>
            <w:tcW w:w="1716" w:type="dxa"/>
            <w:vAlign w:val="bottom"/>
          </w:tcPr>
          <w:p>
            <w:pPr>
              <w:spacing w:before="156" w:beforeLines="50"/>
              <w:jc w:val="center"/>
              <w:rPr>
                <w:rFonts w:ascii="楷体" w:hAnsi="楷体" w:eastAsia="楷体"/>
                <w:sz w:val="24"/>
              </w:rPr>
            </w:pPr>
            <w:r>
              <w:rPr>
                <w:rFonts w:hint="eastAsia" w:ascii="楷体" w:hAnsi="楷体" w:eastAsia="楷体"/>
                <w:sz w:val="24"/>
              </w:rPr>
              <w:t>实 验 名 称</w:t>
            </w:r>
          </w:p>
        </w:tc>
        <w:tc>
          <w:tcPr>
            <w:tcW w:w="5929" w:type="dxa"/>
            <w:tcBorders>
              <w:bottom w:val="single" w:color="auto" w:sz="4" w:space="0"/>
            </w:tcBorders>
            <w:vAlign w:val="bottom"/>
          </w:tcPr>
          <w:p>
            <w:pPr>
              <w:spacing w:before="156" w:beforeLines="50"/>
              <w:jc w:val="center"/>
              <w:rPr>
                <w:rFonts w:hint="eastAsia" w:ascii="楷体" w:hAnsi="楷体" w:eastAsia="楷体"/>
                <w:sz w:val="24"/>
                <w:lang w:val="en-US" w:eastAsia="zh-CN"/>
              </w:rPr>
            </w:pPr>
            <w:r>
              <w:rPr>
                <w:rFonts w:hint="eastAsia" w:ascii="楷体" w:hAnsi="楷体" w:eastAsia="楷体"/>
                <w:sz w:val="24"/>
              </w:rPr>
              <w:t>实验</w:t>
            </w:r>
            <w:r>
              <w:rPr>
                <w:rFonts w:hint="eastAsia" w:ascii="楷体" w:hAnsi="楷体" w:eastAsia="楷体"/>
                <w:sz w:val="24"/>
                <w:lang w:val="en-US" w:eastAsia="zh-CN"/>
              </w:rPr>
              <w:t>3</w:t>
            </w:r>
          </w:p>
        </w:tc>
      </w:tr>
    </w:tbl>
    <w:p/>
    <w:p>
      <w:pPr>
        <w:numPr>
          <w:ilvl w:val="0"/>
          <w:numId w:val="1"/>
        </w:numPr>
      </w:pPr>
      <w:r>
        <w:rPr>
          <w:rFonts w:hint="eastAsia"/>
        </w:rPr>
        <w:t>实验目的</w:t>
      </w:r>
    </w:p>
    <w:p>
      <w:r>
        <w:rPr>
          <w:rFonts w:hint="eastAsia"/>
        </w:rPr>
        <w:t>初步了解 Linux 系统中，创建进程和进程间通信的方法</w:t>
      </w:r>
    </w:p>
    <w:p/>
    <w:p>
      <w:pPr>
        <w:numPr>
          <w:ilvl w:val="0"/>
          <w:numId w:val="1"/>
        </w:numPr>
      </w:pPr>
      <w:r>
        <w:rPr>
          <w:rFonts w:hint="eastAsia"/>
        </w:rPr>
        <w:t>实验内容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1．实验 Linux 下创建子进程及资源共享的方法</w:t>
      </w:r>
    </w:p>
    <w:p>
      <w:pPr>
        <w:widowControl w:val="0"/>
        <w:numPr>
          <w:numId w:val="0"/>
        </w:numPr>
        <w:tabs>
          <w:tab w:val="left" w:pos="420"/>
        </w:tabs>
        <w:jc w:val="both"/>
      </w:pPr>
      <w:r>
        <w:rPr>
          <w:rFonts w:hint="eastAsia"/>
        </w:rPr>
        <w:t>2. 编写一个程序，用 Linux 中的 IPC 机制，完成两个进程“石头、剪子、布”的游戏。</w:t>
      </w:r>
    </w:p>
    <w:p/>
    <w:p>
      <w:pPr>
        <w:numPr>
          <w:ilvl w:val="0"/>
          <w:numId w:val="1"/>
        </w:numPr>
      </w:pPr>
      <w:r>
        <w:rPr>
          <w:rFonts w:hint="eastAsia"/>
        </w:rPr>
        <w:t>实验步骤和结果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本实验可以创建三个进程，其中，一个进程为裁判进程，另外两个进程为选手进程。可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以将“石头、剪子、布”这三招定义为三个整型值。胜负关系：石头〉剪子〉布〉石头。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选手进程按照某种策略（例如，随机产生）出招，交给裁判进程判断大小。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裁判进程将对手的出招和胜负结果通知选手。比赛可以采取多盘（＞１００盘）定胜负，由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裁判宣布最后结果。每次出招由裁判限定时间，超时判负。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每盘结果可以存放在文件或其他数据结构中。比赛结束，可以打印每盘的胜负情况和总的结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果。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1．设计表示“石头、剪子、布”的数据结构，以及它们之间的大小规则。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2．设计比赛结果的存放方式。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3．选择 IPC 的方法。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4．根据你所选择的 IPC 方法，创建对应的 IPC 资源。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5．完成选手进程。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6． 完成裁判进程。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－－以下要求选作：</w:t>
      </w:r>
    </w:p>
    <w:p>
      <w:pPr>
        <w:widowControl w:val="0"/>
        <w:numPr>
          <w:numId w:val="0"/>
        </w:numPr>
        <w:tabs>
          <w:tab w:val="left" w:pos="420"/>
        </w:tabs>
        <w:jc w:val="both"/>
        <w:rPr>
          <w:rFonts w:hint="eastAsia"/>
        </w:rPr>
      </w:pPr>
      <w:r>
        <w:rPr>
          <w:rFonts w:hint="eastAsia"/>
        </w:rPr>
        <w:t>7．决出班级的前三甲，与另外班级的前三甲比赛，决出年级冠军。</w:t>
      </w:r>
    </w:p>
    <w:p>
      <w:pPr>
        <w:widowControl w:val="0"/>
        <w:numPr>
          <w:numId w:val="0"/>
        </w:numPr>
        <w:tabs>
          <w:tab w:val="left" w:pos="420"/>
        </w:tabs>
        <w:jc w:val="both"/>
      </w:pPr>
      <w:r>
        <w:rPr>
          <w:rFonts w:hint="eastAsia"/>
        </w:rPr>
        <w:t>8．如果有兴趣，再把这个实验改造成网络版。即在设计时就要考虑ＩＰＣ层的封装。</w:t>
      </w:r>
    </w:p>
    <w:p/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实验数据结构:</w:t>
      </w:r>
    </w:p>
    <w:p>
      <w:r>
        <w:drawing>
          <wp:inline distT="0" distB="0" distL="114300" distR="114300">
            <wp:extent cx="4714875" cy="4305300"/>
            <wp:effectExtent l="0" t="0" r="95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了枚举来表示剪刀石头布,在这个枚举中，SCISSORS、ROCK和PAPER分别代表剪刀、石头和布，赋予了0、1和2这三个整数值。使用这样的枚举类型而不是直接使用整数值，可以让代码更加直观，同时减少因错误使用整数值而引起的错误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 xml:space="preserve">2 . 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实验大小规则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&amp;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存放方式：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大小规则判断后的结果同样也使用了枚举,分别表示玩家1胜利,玩家2胜利,;平局这三种情况,</w:t>
      </w:r>
      <w:r>
        <w:rPr>
          <w:rFonts w:hint="default"/>
          <w:lang w:val="en-US" w:eastAsia="zh-CN"/>
        </w:rPr>
        <w:t>这个游戏中的大小规则遵循经典的石头剪刀布游戏规则：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石头（ROCK）胜剪刀（SCISSORS）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剪刀（SCISSORS）胜布（PAPER）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布（PAPER）胜石头（ROCK）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这个规则可以通过比较枚举值来实现，但直接比较枚举值不足以判断胜负，需要实现一个逻辑判断。这是因为这个游戏的胜负关系不是线性的，而是环形的。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934585" cy="3289935"/>
            <wp:effectExtent l="0" t="0" r="1841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上面的函数是用来判断剪刀石头布结果的函数,返回值使用了枚举来表示以增加代码可读性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3. 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实验所选择的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IPC 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方法和理由：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选择了消息队列作为进程间通信（IPC）的方法。消息队列是一种允许一个或多个进程写入和读取消息的IPC机制，这些消息存储在队列中，直到被接收进程取走。下面是选择消息队列作为IPC方法的具体理由：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理由一：同步和异步通信的灵活性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队列支持同步和异步的通信方式。在这个游戏中，虽然父进程需要等待子进程发送消息，说明它们的选择（石头、剪刀、布），但这个等待是非阻塞的。父进程可以继续执行其他任务，直到消息准备好被读取。这提供了一种灵活的方式来处理进程间的通信，特别是在需要处理多个子进程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理由二：解耦生产者和消费者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队列解耦了消息的生产者和消费者，使得生产者和消费者可以独立地工作，不需要同时在线。这在本程序中尤为重要，因为每个子进程（生产者）生成结果后即退出，而父进程（消费者）则需要从多个子进程收集结果。使用消息队列，可以简化这种一对多的通信模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理由三：易于管理和跟踪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队列提供了易于使用的接口来发送、接收和管理消息。它允许父进程轻松地从多个子进程接收消息，而不需要复杂的同步机制或共享内存管理。此外，每个消息都可以携带类型信息，使得父进程能够根据消息类型或其他标识符来过滤消息，这在处理不同类型的消息或来自不同源的消息时非常有用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理由四：系统级支持和稳定性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消息队列作为操作系统提供的一种IPC机制，具有较高的稳定性和效率。它是内核级的，意味着消息传递的性能比用户空间的解决方案更优，且更能抵御进程间通信中的常见问题，如数据竞争和同步问题。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理由五：安全性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消息队列可以通过操作系统的权限模型来管理访问控制，确保只有具有适当权限的进程才能访问特定的消息队列。这对于需要考虑安全性的应用来说是一个重要特性。</w:t>
      </w:r>
    </w:p>
    <w:p/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消息缓冲区结构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638675" cy="2247900"/>
            <wp:effectExtent l="0" t="0" r="952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消息缓冲区结构的组成部分：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gType：这是一个long类型的字段，用于标识消息的类型。在消息队列中，msgType用于区分不同种类的消息，使得接收进程可以根据类型选择性地接收消息。在您的程序中，所有的消息类型都被设定为GAME_MSG_TYPE（其值被定义为1），这是为了简化示例。在更复杂的应用中，可以使用不同的msgType值来表示不同的消息种类或来源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und：这是一个int类型的字段，表示玩家在当前轮次中的选择。具体来说，0代表剪刀（SCISSORS），1代表石头（ROCK），2代表布（PAPER）。这个字段用于传递玩家的游戏选择，让接收方（通常是父进程）可以判断游戏的结果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消息缓冲区结构的作用：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结构体允许您在单个消息中打包和传递游戏的关键信息。通过使用这种结构化的消息格式，您可以确保消息队列中的数据是自描述的，并且接收进程可以容易地解析和处理这些消息。在您的游戏程序中，父进程使用msgrcv函数根据msgType接收消息，然后根据round字段中的值来判断每个玩家的选择，并计算游戏结果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消息队列中消息的处理：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发送消息：每个子进程通过msgsnd函数发送一个Game结构体的实例到消息队列，该实例包含了它的游戏选择。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接收消息：父进程使用msgrcv函数根据msgType从消息队列中接收消息，并根据round字段中包含的玩家选择来计算和宣布游戏结果。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5.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如何创建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IPC 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资源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IPC资源是通过消息队列创建的。消息队列允许一个或多个进程向另一个进程发送和接收消息，是一种重要的进程间通信（IPC）机制。程序中创建消息队列的过程如下所述：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创建消息队列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程序通过调用msgget函数创建消息队列。msgget函数的原型如下：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PingFang SC Medium" w:hAnsi="PingFang SC Medium" w:eastAsia="PingFang SC Medium" w:cs="PingFang SC Medium"/>
          <w:lang w:val="en-US" w:eastAsia="zh-CN"/>
        </w:rPr>
      </w:pPr>
      <w:r>
        <w:rPr>
          <w:rFonts w:hint="eastAsia" w:ascii="PingFang SC Medium" w:hAnsi="PingFang SC Medium" w:eastAsia="PingFang SC Medium" w:cs="PingFang SC Medium"/>
          <w:lang w:val="en-US" w:eastAsia="zh-CN"/>
        </w:rPr>
        <w:t>int msgget(key_t key, int msgflg);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lang w:val="en-US" w:eastAsia="zh-CN"/>
        </w:rPr>
        <w:t>key 参数用于指定消息队列的访问键。在这个程序中，使用IPC_PRIVATE作为key的值，这意味着创建一个新的、唯一的消息队列，它只能被创建它的进程及其子进程访问。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msgflg 参数用于指定消息队列的权限和创建选项。在这个程序中，使用IPC_CREAT | QUEUE_PERMISSIONS作为msgflg的值，其中IPC_CREAT标志指示如果指定的key对应的消息队列不存在，则创建它。QUEUE_PERMISSIONS通常设置为0666，提供了对消息队列的读写权限。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程序中创建IPC资源的代码：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971540" cy="1845945"/>
            <wp:effectExtent l="0" t="0" r="228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其中,QUEUE_PERMISSIONS在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19525" cy="1562100"/>
            <wp:effectExtent l="0" t="0" r="1587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被定义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这段代码中，程序尝试创建两个消息队列，分别用于两个玩家的游戏结果通信。每个msgget调用都会返回一个消息队列标识符（在上述代码中分别是message_id1和message_id2），该标识符用于后续的消息发送和接收操作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错误处理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如果msgget函数调用失败（例如，因为系统资源不足或权限问题），它会返回-1。程序通过检查msgget的返回值来处理潜在的错误：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371975" cy="2247900"/>
            <wp:effectExtent l="0" t="0" r="222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如果创建消息队列失败，程序会输出错误消息，并进行适当的资源清理和错误处理。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清理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创建的IPC资源（消息队列）在使用完毕后应当被清理，以避免资源泄露。在Linux中，可以使用msgctl函数删除消息队列：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86200" cy="20764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在程序的最后，使用IPC_RMID命令删除两个消息队列，确保资源被正确回收。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通过上述步骤，程序成功创建了所需的IPC资源（消息队列），用于实现进程间的通信。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 xml:space="preserve">6. </w:t>
      </w:r>
      <w:r>
        <w:rPr>
          <w:rFonts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程序主要流程或关键算法：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程序的核心流程：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初始化和资源准备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程序开始时，首先设置全局的随机数种子，以确保后续的随机数生成有足够的随机性。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然后，程序读取用户输入的比赛轮数，并为存放每轮结果的数组分配内存。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接着，程序通过msgget函数创建两个消息队列，分别用于两个玩家的游戏结果通信。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游戏循环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程序进入一个循环，每次循环代表一轮游戏。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在每轮游戏中，程序先后为两个玩家创建子进程。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子进程：每个子进程通过调用result_send函数生成一个随机的手势（石头、剪刀、布），并将这个手势作为消息发送到相应的消息队列。子进程完成任务后即退出。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父进程：在两个子进程都发送了游戏结果后，父进程使用msgrcv函数从两个消息队列中接收游戏结果，然后调用result_announce函数来计算并宣布这一轮的结果（即哪个玩家赢了，或者是否平局）。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结果统计和输出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对于每轮游戏的结果，父进程将其记录在先前分配的结果数组中。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游戏结束后，父进程遍历结果数组，统计并输出每个玩家的胜利次数和平局次数。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最终结果也被写入到一个文件中，以便于后续查看。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清理资源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在所有游戏轮次完成后，程序清理创建的IPC资源（消息队列），并释放分配的内存资源。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使用msgctl函数删除两个消息队列，确保不会有资源泄露。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822575" cy="9217025"/>
            <wp:effectExtent l="0" t="0" r="22225" b="3175"/>
            <wp:docPr id="9" name="图片 9" descr="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流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921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上面的是该程序的流程图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关键算法: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随机数生成：每个子进程生成一个0到2之间的随机数来代表玩家的手势（石头、剪刀、布）。这是通过调用rand函数实现的，随机数种子在每个子进程中根据当前时间和进程ID设置，以确保随机性。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胜负判断：使用result_announce函数根据石头剪刀布的规则判断胜负，这里利用了数学关系来简化判断逻辑。具体是比较两个玩家选择的差值，通过模3运算的结果来确定胜负关系。</w:t>
      </w:r>
    </w:p>
    <w:p>
      <w:r>
        <w:drawing>
          <wp:inline distT="0" distB="0" distL="114300" distR="114300">
            <wp:extent cx="5686425" cy="3619500"/>
            <wp:effectExtent l="0" t="0" r="3175" b="1270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</w:t>
      </w:r>
    </w:p>
    <w:p>
      <w:r>
        <w:drawing>
          <wp:inline distT="0" distB="0" distL="114300" distR="114300">
            <wp:extent cx="4162425" cy="1562100"/>
            <wp:effectExtent l="0" t="0" r="3175" b="1270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用来快速判断玩家一剪刀,玩家二布等情况</w:t>
      </w:r>
    </w:p>
    <w:p/>
    <w:p>
      <w:pPr>
        <w:numPr>
          <w:ilvl w:val="0"/>
          <w:numId w:val="1"/>
        </w:numPr>
      </w:pPr>
      <w:r>
        <w:rPr>
          <w:rFonts w:hint="eastAsia"/>
        </w:rPr>
        <w:t>实验总结</w:t>
      </w:r>
    </w:p>
    <w:p/>
    <w:p>
      <w:pPr>
        <w:rPr>
          <w:rFonts w:hint="eastAsia"/>
        </w:rPr>
      </w:pPr>
      <w:r>
        <w:rPr>
          <w:rFonts w:hint="eastAsia"/>
        </w:rPr>
        <w:t>理解IPC机制</w:t>
      </w:r>
    </w:p>
    <w:p>
      <w:pPr>
        <w:rPr>
          <w:rFonts w:hint="eastAsia"/>
        </w:rPr>
      </w:pPr>
      <w:r>
        <w:rPr>
          <w:rFonts w:hint="eastAsia"/>
        </w:rPr>
        <w:t>实验深入探讨了进程间通信（IPC）的一种具体形式：消息队列。通过实践，明白了消息队列如何在独立进程间传递消息，以及它的优点，包括解耦生产者和消费者、提供同步和异步通信的灵活性，以及如何通过系统级支持实现高效和稳定的通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进程管理</w:t>
      </w:r>
    </w:p>
    <w:p>
      <w:pPr>
        <w:rPr>
          <w:rFonts w:hint="eastAsia"/>
        </w:rPr>
      </w:pPr>
      <w:r>
        <w:rPr>
          <w:rFonts w:hint="eastAsia"/>
        </w:rPr>
        <w:t>通过创建子进程来代表不同的玩家，实验加深了对于进程创建、执行和管理的理解。特别是如何使用fork()创建子进程，以及如何通过wait()确保父进程能够正确地等待子进程完成，这对于编写并发程序来说是非常重要的基础知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随机数生成</w:t>
      </w:r>
    </w:p>
    <w:p>
      <w:pPr>
        <w:rPr>
          <w:rFonts w:hint="eastAsia"/>
        </w:rPr>
      </w:pPr>
      <w:r>
        <w:rPr>
          <w:rFonts w:hint="eastAsia"/>
        </w:rPr>
        <w:t>在实验中，每个子进程需要生成一个随机的手势（石头、剪刀、布）。这一部分强调了如何在程序中合理使用随机数生成器，以及如何通过改变种子来确保随机性，尤其是在并发环境下。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错误处理和资源管理</w:t>
      </w:r>
    </w:p>
    <w:p>
      <w:pPr>
        <w:rPr>
          <w:rFonts w:hint="eastAsia"/>
        </w:rPr>
      </w:pPr>
      <w:r>
        <w:rPr>
          <w:rFonts w:hint="eastAsia"/>
        </w:rPr>
        <w:t>实验过程中也涉及了错误处理和资源管理的重要性，比如如何在消息队列创建失败时进行错误报告和资源清理，以及在程序结束时如何释放已分配的内存和IPC资源。这些实践强调了编写健壮、可靠程序的重要性。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模块化和代码重用</w:t>
      </w:r>
    </w:p>
    <w:p>
      <w:r>
        <w:rPr>
          <w:rFonts w:hint="eastAsia"/>
        </w:rPr>
        <w:t>通过将特定功能（如发送游戏结果、计算和宣布比赛结果等）封装成函数，实验加深了对于模块化编程和代码重用原则的理解。这种做法不仅提高了代码的可读性和可维护性，也使得功能的测试和调试更为方便。</w:t>
      </w:r>
      <w:bookmarkStart w:id="0" w:name="_GoBack"/>
      <w:bookmarkEnd w:id="0"/>
    </w:p>
    <w:p/>
    <w:sectPr>
      <w:type w:val="continuous"/>
      <w:pgSz w:w="11906" w:h="16838"/>
      <w:pgMar w:top="1134" w:right="1247" w:bottom="1134" w:left="1247" w:header="851" w:footer="851" w:gutter="0"/>
      <w:pgBorders>
        <w:top w:val="single" w:color="auto" w:sz="4" w:space="1"/>
        <w:left w:val="single" w:color="auto" w:sz="4" w:space="5"/>
        <w:bottom w:val="single" w:color="auto" w:sz="4" w:space="1"/>
        <w:right w:val="single" w:color="auto" w:sz="4" w:space="5"/>
      </w:pgBorders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_GB2312">
    <w:altName w:val="汉仪楷体简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panose1 w:val="00000000000000000000"/>
    <w:charset w:val="00"/>
    <w:family w:val="auto"/>
    <w:pitch w:val="default"/>
    <w:sig w:usb0="A00002FF" w:usb1="500039FB" w:usb2="00000000" w:usb3="00000000" w:csb0="20000197" w:csb1="4F000000"/>
  </w:font>
  <w:font w:name="Tamil Sangam MN Medium">
    <w:panose1 w:val="00000500000000000000"/>
    <w:charset w:val="00"/>
    <w:family w:val="auto"/>
    <w:pitch w:val="default"/>
    <w:sig w:usb0="00108001" w:usb1="02000004" w:usb2="00000000" w:usb3="00000000" w:csb0="00000001" w:csb1="00000000"/>
  </w:font>
  <w:font w:name="Optima Regular">
    <w:panose1 w:val="02000503060000020004"/>
    <w:charset w:val="00"/>
    <w:family w:val="auto"/>
    <w:pitch w:val="default"/>
    <w:sig w:usb0="80000067" w:usb1="00000000" w:usb2="00000000" w:usb3="00000000" w:csb0="00000001" w:csb1="00000000"/>
  </w:font>
  <w:font w:name="娃娃体-简">
    <w:panose1 w:val="040B0500000000000000"/>
    <w:charset w:val="86"/>
    <w:family w:val="auto"/>
    <w:pitch w:val="default"/>
    <w:sig w:usb0="A00002FF" w:usb1="38CF7CFB" w:usb2="00000016" w:usb3="00000000" w:csb0="00040003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中简黑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 Ultralight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 Thin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 Light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 Medium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 Semibold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2"/>
      </w:rPr>
    </w:pPr>
  </w:p>
  <w:p>
    <w:pPr>
      <w:pStyle w:val="4"/>
      <w:framePr w:wrap="around" w:vAnchor="text" w:hAnchor="margin" w:xAlign="center" w:y="1"/>
      <w:jc w:val="center"/>
      <w:rPr>
        <w:rStyle w:val="12"/>
      </w:rPr>
    </w:pPr>
    <w:r>
      <w:rPr>
        <w:rStyle w:val="12"/>
        <w:rFonts w:hint="eastAsia"/>
      </w:rPr>
      <w:t>第</w:t>
    </w: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3</w:t>
    </w:r>
    <w:r>
      <w:fldChar w:fldCharType="end"/>
    </w:r>
    <w:r>
      <w:rPr>
        <w:rStyle w:val="12"/>
        <w:rFonts w:hint="eastAsia"/>
      </w:rPr>
      <w:t>页，共</w:t>
    </w:r>
    <w:r>
      <w:fldChar w:fldCharType="begin"/>
    </w:r>
    <w:r>
      <w:rPr>
        <w:rStyle w:val="12"/>
      </w:rPr>
      <w:instrText xml:space="preserve"> NUMPAGES </w:instrText>
    </w:r>
    <w:r>
      <w:fldChar w:fldCharType="separate"/>
    </w:r>
    <w:r>
      <w:rPr>
        <w:rStyle w:val="12"/>
      </w:rPr>
      <w:t>3</w:t>
    </w:r>
    <w:r>
      <w:fldChar w:fldCharType="end"/>
    </w:r>
    <w:r>
      <w:rPr>
        <w:rStyle w:val="12"/>
        <w:rFonts w:hint="eastAsia"/>
      </w:rPr>
      <w:t>页</w:t>
    </w:r>
  </w:p>
  <w:p>
    <w:pPr>
      <w:pStyle w:val="4"/>
      <w:spacing w:before="240" w:beforeLines="100"/>
      <w:jc w:val="right"/>
      <w:rPr>
        <w:rFonts w:eastAsia="楷体_GB2312"/>
        <w:sz w:val="24"/>
      </w:rPr>
    </w:pPr>
    <w:r>
      <w:rPr>
        <w:rFonts w:hint="eastAsia" w:eastAsia="楷体_GB2312"/>
        <w:sz w:val="24"/>
      </w:rPr>
      <w:t>教务处制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end"/>
    </w: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FCAA5A"/>
    <w:multiLevelType w:val="singleLevel"/>
    <w:tmpl w:val="ADFCAA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6BF3F95"/>
    <w:multiLevelType w:val="singleLevel"/>
    <w:tmpl w:val="E6BF3F9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02E6654"/>
    <w:multiLevelType w:val="multilevel"/>
    <w:tmpl w:val="702E6654"/>
    <w:lvl w:ilvl="0" w:tentative="0">
      <w:start w:val="1"/>
      <w:numFmt w:val="chineseCountingThousand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decimal"/>
      <w:lvlText w:val="%2."/>
      <w:lvlJc w:val="righ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2B6"/>
    <w:rsid w:val="0001538C"/>
    <w:rsid w:val="000301AD"/>
    <w:rsid w:val="000A69B2"/>
    <w:rsid w:val="00116A8F"/>
    <w:rsid w:val="001F1393"/>
    <w:rsid w:val="002C6673"/>
    <w:rsid w:val="00330116"/>
    <w:rsid w:val="0033110E"/>
    <w:rsid w:val="00372E48"/>
    <w:rsid w:val="003D097E"/>
    <w:rsid w:val="0043519E"/>
    <w:rsid w:val="004732B6"/>
    <w:rsid w:val="005827C2"/>
    <w:rsid w:val="005C08BE"/>
    <w:rsid w:val="005C7D8D"/>
    <w:rsid w:val="00627C65"/>
    <w:rsid w:val="0066067D"/>
    <w:rsid w:val="00697CB7"/>
    <w:rsid w:val="006E7F77"/>
    <w:rsid w:val="00752CFD"/>
    <w:rsid w:val="00833D10"/>
    <w:rsid w:val="00923405"/>
    <w:rsid w:val="009279CD"/>
    <w:rsid w:val="00933A39"/>
    <w:rsid w:val="0097484E"/>
    <w:rsid w:val="00983D8A"/>
    <w:rsid w:val="009F34A8"/>
    <w:rsid w:val="00B11B23"/>
    <w:rsid w:val="00B43057"/>
    <w:rsid w:val="00B6666B"/>
    <w:rsid w:val="00B66BF8"/>
    <w:rsid w:val="00BA59B6"/>
    <w:rsid w:val="00C563F6"/>
    <w:rsid w:val="00C6675D"/>
    <w:rsid w:val="00CC33FE"/>
    <w:rsid w:val="00DE5EE2"/>
    <w:rsid w:val="00DF5BAC"/>
    <w:rsid w:val="00E136A6"/>
    <w:rsid w:val="00F73627"/>
    <w:rsid w:val="00F7555A"/>
    <w:rsid w:val="0DF902C2"/>
    <w:rsid w:val="2910111B"/>
    <w:rsid w:val="54636A00"/>
    <w:rsid w:val="55963ECC"/>
    <w:rsid w:val="5FBDA1DF"/>
    <w:rsid w:val="68DF8B41"/>
    <w:rsid w:val="7F17BE37"/>
    <w:rsid w:val="EDEF4568"/>
    <w:rsid w:val="EFFBC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8"/>
    <w:uiPriority w:val="0"/>
    <w:pPr>
      <w:jc w:val="left"/>
    </w:pPr>
  </w:style>
  <w:style w:type="paragraph" w:styleId="3">
    <w:name w:val="Balloon Text"/>
    <w:basedOn w:val="1"/>
    <w:link w:val="17"/>
    <w:uiPriority w:val="0"/>
    <w:rPr>
      <w:sz w:val="18"/>
      <w:szCs w:val="18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footnote text"/>
    <w:basedOn w:val="1"/>
    <w:link w:val="15"/>
    <w:uiPriority w:val="0"/>
    <w:pPr>
      <w:snapToGrid w:val="0"/>
      <w:jc w:val="left"/>
    </w:pPr>
    <w:rPr>
      <w:sz w:val="18"/>
      <w:szCs w:val="18"/>
    </w:rPr>
  </w:style>
  <w:style w:type="paragraph" w:styleId="7">
    <w:name w:val="Normal (Web)"/>
    <w:basedOn w:val="1"/>
    <w:uiPriority w:val="0"/>
    <w:pPr>
      <w:widowControl/>
      <w:spacing w:before="100" w:beforeAutospacing="1" w:after="100" w:afterAutospacing="1" w:line="300" w:lineRule="atLeast"/>
      <w:jc w:val="left"/>
    </w:pPr>
    <w:rPr>
      <w:rFonts w:ascii="Arial Unicode MS" w:hAnsi="Arial Unicode MS" w:eastAsia="Arial Unicode MS" w:cs="Arial Unicode MS"/>
      <w:kern w:val="0"/>
      <w:sz w:val="24"/>
    </w:rPr>
  </w:style>
  <w:style w:type="paragraph" w:styleId="8">
    <w:name w:val="annotation subject"/>
    <w:basedOn w:val="2"/>
    <w:next w:val="2"/>
    <w:link w:val="16"/>
    <w:uiPriority w:val="0"/>
    <w:rPr>
      <w:b/>
      <w:bCs/>
    </w:rPr>
  </w:style>
  <w:style w:type="character" w:styleId="11">
    <w:name w:val="Strong"/>
    <w:qFormat/>
    <w:uiPriority w:val="0"/>
    <w:rPr>
      <w:b/>
      <w:bCs/>
    </w:rPr>
  </w:style>
  <w:style w:type="character" w:styleId="12">
    <w:name w:val="page number"/>
    <w:basedOn w:val="10"/>
    <w:uiPriority w:val="0"/>
  </w:style>
  <w:style w:type="character" w:styleId="13">
    <w:name w:val="annotation reference"/>
    <w:uiPriority w:val="0"/>
    <w:rPr>
      <w:sz w:val="21"/>
      <w:szCs w:val="21"/>
    </w:rPr>
  </w:style>
  <w:style w:type="character" w:styleId="14">
    <w:name w:val="footnote reference"/>
    <w:uiPriority w:val="0"/>
    <w:rPr>
      <w:vertAlign w:val="superscript"/>
    </w:rPr>
  </w:style>
  <w:style w:type="character" w:customStyle="1" w:styleId="15">
    <w:name w:val="脚注文本 字符"/>
    <w:link w:val="6"/>
    <w:uiPriority w:val="0"/>
    <w:rPr>
      <w:kern w:val="2"/>
      <w:sz w:val="18"/>
      <w:szCs w:val="18"/>
    </w:rPr>
  </w:style>
  <w:style w:type="character" w:customStyle="1" w:styleId="16">
    <w:name w:val="批注主题 字符"/>
    <w:link w:val="8"/>
    <w:uiPriority w:val="0"/>
    <w:rPr>
      <w:b/>
      <w:bCs/>
      <w:kern w:val="2"/>
      <w:sz w:val="21"/>
      <w:szCs w:val="24"/>
    </w:rPr>
  </w:style>
  <w:style w:type="character" w:customStyle="1" w:styleId="17">
    <w:name w:val="批注框文本 字符"/>
    <w:link w:val="3"/>
    <w:uiPriority w:val="0"/>
    <w:rPr>
      <w:kern w:val="2"/>
      <w:sz w:val="18"/>
      <w:szCs w:val="18"/>
    </w:rPr>
  </w:style>
  <w:style w:type="character" w:customStyle="1" w:styleId="18">
    <w:name w:val="批注文字 字符"/>
    <w:link w:val="2"/>
    <w:uiPriority w:val="0"/>
    <w:rPr>
      <w:kern w:val="2"/>
      <w:sz w:val="21"/>
      <w:szCs w:val="24"/>
    </w:rPr>
  </w:style>
  <w:style w:type="paragraph" w:customStyle="1" w:styleId="19">
    <w:name w:val="列出段落"/>
    <w:basedOn w:val="1"/>
    <w:qFormat/>
    <w:uiPriority w:val="34"/>
    <w:pPr>
      <w:ind w:firstLine="420" w:firstLineChars="200"/>
    </w:pPr>
  </w:style>
  <w:style w:type="paragraph" w:customStyle="1" w:styleId="20">
    <w:name w:val="main"/>
    <w:basedOn w:val="1"/>
    <w:uiPriority w:val="0"/>
    <w:pPr>
      <w:widowControl/>
      <w:spacing w:before="100" w:beforeAutospacing="1" w:after="100" w:afterAutospacing="1"/>
      <w:jc w:val="left"/>
    </w:pPr>
    <w:rPr>
      <w:rFonts w:ascii="Arial Unicode MS" w:hAnsi="Arial Unicode MS" w:eastAsia="Arial Unicode MS" w:cs="Arial Unicode MS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Soochow University</Company>
  <Pages>1</Pages>
  <Words>16</Words>
  <Characters>94</Characters>
  <Lines>1</Lines>
  <Paragraphs>1</Paragraphs>
  <TotalTime>91</TotalTime>
  <ScaleCrop>false</ScaleCrop>
  <LinksUpToDate>false</LinksUpToDate>
  <CharactersWithSpaces>109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2023-11-16T22:51:00Z</dcterms:created>
  <dc:creator>cx</dc:creator>
  <cp:lastModifiedBy>FSF</cp:lastModifiedBy>
  <cp:lastPrinted>2023-11-16T22:51:00Z</cp:lastPrinted>
  <dcterms:modified xsi:type="dcterms:W3CDTF">2024-03-21T15:16:57Z</dcterms:modified>
  <dc:title>实验一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2BF3B1BA1004B873C6AFFB65633691FA_42</vt:lpwstr>
  </property>
</Properties>
</file>