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77BEF" w14:textId="77777777" w:rsidR="00C537DC" w:rsidRDefault="00000000">
      <w:pPr>
        <w:pStyle w:val="1"/>
        <w:rPr>
          <w:rFonts w:ascii="Songti SC Regular" w:eastAsia="Songti SC Regular" w:hAnsi="Songti SC Regular" w:cs="Songti SC Regular"/>
        </w:rPr>
      </w:pPr>
      <w:r>
        <w:rPr>
          <w:rFonts w:ascii="Songti SC Regular" w:eastAsia="Songti SC Regular" w:hAnsi="Songti SC Regular" w:cs="Songti SC Regular" w:hint="eastAsia"/>
        </w:rPr>
        <w:t>游戏装备交易平台项目</w:t>
      </w:r>
    </w:p>
    <w:p w14:paraId="4F4A693F" w14:textId="77777777" w:rsidR="00C537DC" w:rsidRDefault="00000000">
      <w:pPr>
        <w:pStyle w:val="2"/>
        <w:rPr>
          <w:rFonts w:ascii="Songti SC Regular" w:eastAsia="Songti SC Regular" w:hAnsi="Songti SC Regular" w:cs="Songti SC Regular"/>
        </w:rPr>
      </w:pPr>
      <w:r>
        <w:rPr>
          <w:rFonts w:ascii="Songti SC Regular" w:eastAsia="Songti SC Regular" w:hAnsi="Songti SC Regular" w:cs="Songti SC Regular" w:hint="eastAsia"/>
        </w:rPr>
        <w:t>项目建议书</w:t>
      </w:r>
    </w:p>
    <w:p w14:paraId="7CD91BF9" w14:textId="77777777" w:rsidR="00B15D13" w:rsidRPr="00833D10" w:rsidRDefault="00B15D13" w:rsidP="00B15D13">
      <w:pPr>
        <w:jc w:val="center"/>
        <w:rPr>
          <w:rFonts w:ascii="楷体" w:eastAsia="楷体" w:hAnsi="楷体"/>
          <w:spacing w:val="100"/>
          <w:sz w:val="48"/>
          <w:u w:val="single"/>
        </w:rPr>
      </w:pPr>
      <w:r w:rsidRPr="00833D10">
        <w:rPr>
          <w:rFonts w:ascii="楷体" w:eastAsia="楷体" w:hAnsi="楷体" w:hint="eastAsia"/>
          <w:spacing w:val="100"/>
          <w:sz w:val="48"/>
          <w:u w:val="single"/>
        </w:rPr>
        <w:t>苏州大学实验报告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
        <w:gridCol w:w="281"/>
        <w:gridCol w:w="1548"/>
        <w:gridCol w:w="296"/>
        <w:gridCol w:w="900"/>
        <w:gridCol w:w="540"/>
        <w:gridCol w:w="1041"/>
        <w:gridCol w:w="720"/>
        <w:gridCol w:w="1260"/>
        <w:gridCol w:w="720"/>
        <w:gridCol w:w="1440"/>
      </w:tblGrid>
      <w:tr w:rsidR="00B15D13" w14:paraId="42D75736" w14:textId="77777777" w:rsidTr="00193812">
        <w:trPr>
          <w:cantSplit/>
          <w:jc w:val="center"/>
        </w:trPr>
        <w:tc>
          <w:tcPr>
            <w:tcW w:w="896" w:type="dxa"/>
            <w:vAlign w:val="center"/>
          </w:tcPr>
          <w:p w14:paraId="30131984" w14:textId="77777777" w:rsidR="00B15D13" w:rsidRPr="00833D10" w:rsidRDefault="00B15D13" w:rsidP="00193812">
            <w:pPr>
              <w:spacing w:line="0" w:lineRule="atLeast"/>
              <w:jc w:val="center"/>
              <w:rPr>
                <w:rFonts w:ascii="楷体" w:eastAsia="楷体" w:hAnsi="楷体"/>
                <w:sz w:val="24"/>
              </w:rPr>
            </w:pPr>
            <w:r w:rsidRPr="00833D10">
              <w:rPr>
                <w:rFonts w:ascii="楷体" w:eastAsia="楷体" w:hAnsi="楷体" w:hint="eastAsia"/>
                <w:kern w:val="0"/>
                <w:sz w:val="24"/>
              </w:rPr>
              <w:t>院系</w:t>
            </w:r>
          </w:p>
        </w:tc>
        <w:tc>
          <w:tcPr>
            <w:tcW w:w="1829" w:type="dxa"/>
            <w:gridSpan w:val="2"/>
            <w:vAlign w:val="center"/>
          </w:tcPr>
          <w:p w14:paraId="67C6B2BE" w14:textId="77777777" w:rsidR="00B15D13" w:rsidRPr="00833D10" w:rsidRDefault="00B15D13" w:rsidP="00193812">
            <w:pPr>
              <w:spacing w:line="0" w:lineRule="atLeast"/>
              <w:jc w:val="center"/>
              <w:rPr>
                <w:rFonts w:ascii="楷体" w:eastAsia="楷体" w:hAnsi="楷体"/>
                <w:sz w:val="24"/>
              </w:rPr>
            </w:pPr>
            <w:r w:rsidRPr="00833D10">
              <w:rPr>
                <w:rFonts w:ascii="楷体" w:eastAsia="楷体" w:hAnsi="楷体" w:hint="eastAsia"/>
                <w:sz w:val="24"/>
              </w:rPr>
              <w:t>计算机学院</w:t>
            </w:r>
          </w:p>
        </w:tc>
        <w:tc>
          <w:tcPr>
            <w:tcW w:w="1196" w:type="dxa"/>
            <w:gridSpan w:val="2"/>
            <w:vAlign w:val="center"/>
          </w:tcPr>
          <w:p w14:paraId="4CC42267" w14:textId="77777777" w:rsidR="00B15D13" w:rsidRPr="00833D10" w:rsidRDefault="00B15D13" w:rsidP="00193812">
            <w:pPr>
              <w:spacing w:line="0" w:lineRule="atLeast"/>
              <w:jc w:val="center"/>
              <w:rPr>
                <w:rFonts w:ascii="楷体" w:eastAsia="楷体" w:hAnsi="楷体"/>
                <w:sz w:val="24"/>
              </w:rPr>
            </w:pPr>
            <w:r w:rsidRPr="00833D10">
              <w:rPr>
                <w:rFonts w:ascii="楷体" w:eastAsia="楷体" w:hAnsi="楷体" w:hint="eastAsia"/>
                <w:kern w:val="0"/>
                <w:sz w:val="24"/>
              </w:rPr>
              <w:t>年级专业</w:t>
            </w:r>
          </w:p>
        </w:tc>
        <w:tc>
          <w:tcPr>
            <w:tcW w:w="1581" w:type="dxa"/>
            <w:gridSpan w:val="2"/>
            <w:vAlign w:val="center"/>
          </w:tcPr>
          <w:p w14:paraId="1B689B2B" w14:textId="5F939ADF" w:rsidR="00B15D13" w:rsidRPr="00833D10" w:rsidRDefault="00B15D13" w:rsidP="00193812">
            <w:pPr>
              <w:spacing w:line="0" w:lineRule="atLeast"/>
              <w:jc w:val="center"/>
              <w:rPr>
                <w:rFonts w:ascii="楷体" w:eastAsia="楷体" w:hAnsi="楷体" w:hint="eastAsia"/>
                <w:sz w:val="24"/>
              </w:rPr>
            </w:pPr>
            <w:r>
              <w:rPr>
                <w:rFonts w:ascii="楷体" w:eastAsia="楷体" w:hAnsi="楷体" w:hint="eastAsia"/>
                <w:sz w:val="24"/>
              </w:rPr>
              <w:t>2</w:t>
            </w:r>
            <w:r>
              <w:rPr>
                <w:rFonts w:ascii="楷体" w:eastAsia="楷体" w:hAnsi="楷体"/>
                <w:sz w:val="24"/>
              </w:rPr>
              <w:t>1</w:t>
            </w:r>
            <w:r>
              <w:rPr>
                <w:rFonts w:ascii="楷体" w:eastAsia="楷体" w:hAnsi="楷体" w:hint="eastAsia"/>
                <w:sz w:val="24"/>
              </w:rPr>
              <w:t>计科</w:t>
            </w:r>
          </w:p>
        </w:tc>
        <w:tc>
          <w:tcPr>
            <w:tcW w:w="720" w:type="dxa"/>
            <w:vAlign w:val="center"/>
          </w:tcPr>
          <w:p w14:paraId="17157A9E" w14:textId="77777777" w:rsidR="00B15D13" w:rsidRPr="00833D10" w:rsidRDefault="00B15D13" w:rsidP="00193812">
            <w:pPr>
              <w:spacing w:line="0" w:lineRule="atLeast"/>
              <w:jc w:val="center"/>
              <w:rPr>
                <w:rFonts w:ascii="楷体" w:eastAsia="楷体" w:hAnsi="楷体"/>
                <w:sz w:val="24"/>
              </w:rPr>
            </w:pPr>
            <w:r w:rsidRPr="00833D10">
              <w:rPr>
                <w:rFonts w:ascii="楷体" w:eastAsia="楷体" w:hAnsi="楷体" w:hint="eastAsia"/>
                <w:kern w:val="0"/>
                <w:sz w:val="24"/>
              </w:rPr>
              <w:t>姓名</w:t>
            </w:r>
          </w:p>
        </w:tc>
        <w:tc>
          <w:tcPr>
            <w:tcW w:w="1260" w:type="dxa"/>
            <w:vAlign w:val="center"/>
          </w:tcPr>
          <w:p w14:paraId="2E0DC981" w14:textId="2E71FC6E" w:rsidR="00B15D13" w:rsidRPr="00833D10" w:rsidRDefault="00B15D13" w:rsidP="00193812">
            <w:pPr>
              <w:spacing w:line="0" w:lineRule="atLeast"/>
              <w:jc w:val="center"/>
              <w:rPr>
                <w:rFonts w:ascii="楷体" w:eastAsia="楷体" w:hAnsi="楷体"/>
                <w:sz w:val="24"/>
              </w:rPr>
            </w:pPr>
            <w:r>
              <w:rPr>
                <w:rFonts w:ascii="楷体" w:eastAsia="楷体" w:hAnsi="楷体" w:hint="eastAsia"/>
                <w:sz w:val="24"/>
              </w:rPr>
              <w:t>方浩楠</w:t>
            </w:r>
          </w:p>
        </w:tc>
        <w:tc>
          <w:tcPr>
            <w:tcW w:w="720" w:type="dxa"/>
            <w:vAlign w:val="center"/>
          </w:tcPr>
          <w:p w14:paraId="61F825FD" w14:textId="77777777" w:rsidR="00B15D13" w:rsidRPr="00833D10" w:rsidRDefault="00B15D13" w:rsidP="00193812">
            <w:pPr>
              <w:spacing w:line="0" w:lineRule="atLeast"/>
              <w:jc w:val="center"/>
              <w:rPr>
                <w:rFonts w:ascii="楷体" w:eastAsia="楷体" w:hAnsi="楷体"/>
                <w:sz w:val="24"/>
              </w:rPr>
            </w:pPr>
            <w:r w:rsidRPr="00833D10">
              <w:rPr>
                <w:rFonts w:ascii="楷体" w:eastAsia="楷体" w:hAnsi="楷体" w:hint="eastAsia"/>
                <w:kern w:val="0"/>
                <w:sz w:val="24"/>
              </w:rPr>
              <w:t>学号</w:t>
            </w:r>
          </w:p>
        </w:tc>
        <w:tc>
          <w:tcPr>
            <w:tcW w:w="1440" w:type="dxa"/>
            <w:vAlign w:val="center"/>
          </w:tcPr>
          <w:p w14:paraId="07D649BC" w14:textId="11BCEB99" w:rsidR="00B15D13" w:rsidRPr="00833D10" w:rsidRDefault="00B15D13" w:rsidP="00193812">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127405048</w:t>
            </w:r>
          </w:p>
        </w:tc>
      </w:tr>
      <w:tr w:rsidR="00B15D13" w14:paraId="010F3A31" w14:textId="77777777" w:rsidTr="00193812">
        <w:trPr>
          <w:cantSplit/>
          <w:jc w:val="center"/>
        </w:trPr>
        <w:tc>
          <w:tcPr>
            <w:tcW w:w="1177" w:type="dxa"/>
            <w:gridSpan w:val="2"/>
            <w:vAlign w:val="center"/>
          </w:tcPr>
          <w:p w14:paraId="5A398902" w14:textId="77777777" w:rsidR="00B15D13" w:rsidRPr="00833D10" w:rsidRDefault="00B15D13" w:rsidP="00193812">
            <w:pPr>
              <w:spacing w:line="0" w:lineRule="atLeast"/>
              <w:jc w:val="center"/>
              <w:rPr>
                <w:rFonts w:ascii="楷体" w:eastAsia="楷体" w:hAnsi="楷体"/>
                <w:sz w:val="24"/>
              </w:rPr>
            </w:pPr>
            <w:r w:rsidRPr="00833D10">
              <w:rPr>
                <w:rFonts w:ascii="楷体" w:eastAsia="楷体" w:hAnsi="楷体" w:hint="eastAsia"/>
                <w:kern w:val="0"/>
                <w:sz w:val="24"/>
              </w:rPr>
              <w:t>课程名称</w:t>
            </w:r>
          </w:p>
        </w:tc>
        <w:tc>
          <w:tcPr>
            <w:tcW w:w="6305" w:type="dxa"/>
            <w:gridSpan w:val="7"/>
            <w:vAlign w:val="center"/>
          </w:tcPr>
          <w:p w14:paraId="6C49FC1F" w14:textId="03154AA0" w:rsidR="00B15D13" w:rsidRPr="00833D10" w:rsidRDefault="00B15D13" w:rsidP="00193812">
            <w:pPr>
              <w:spacing w:line="0" w:lineRule="atLeast"/>
              <w:jc w:val="center"/>
              <w:rPr>
                <w:rFonts w:ascii="楷体" w:eastAsia="楷体" w:hAnsi="楷体"/>
                <w:sz w:val="24"/>
              </w:rPr>
            </w:pPr>
            <w:r>
              <w:rPr>
                <w:rFonts w:ascii="楷体" w:eastAsia="楷体" w:hAnsi="楷体" w:hint="eastAsia"/>
                <w:sz w:val="24"/>
              </w:rPr>
              <w:t>软件项目管理</w:t>
            </w:r>
          </w:p>
        </w:tc>
        <w:tc>
          <w:tcPr>
            <w:tcW w:w="720" w:type="dxa"/>
            <w:vAlign w:val="center"/>
          </w:tcPr>
          <w:p w14:paraId="6D5A2EC4" w14:textId="77777777" w:rsidR="00B15D13" w:rsidRPr="00833D10" w:rsidRDefault="00B15D13" w:rsidP="00193812">
            <w:pPr>
              <w:spacing w:line="0" w:lineRule="atLeast"/>
              <w:jc w:val="center"/>
              <w:rPr>
                <w:rFonts w:ascii="楷体" w:eastAsia="楷体" w:hAnsi="楷体"/>
                <w:sz w:val="24"/>
              </w:rPr>
            </w:pPr>
            <w:r w:rsidRPr="00833D10">
              <w:rPr>
                <w:rFonts w:ascii="楷体" w:eastAsia="楷体" w:hAnsi="楷体" w:hint="eastAsia"/>
                <w:kern w:val="0"/>
                <w:sz w:val="24"/>
              </w:rPr>
              <w:t>成绩</w:t>
            </w:r>
          </w:p>
        </w:tc>
        <w:tc>
          <w:tcPr>
            <w:tcW w:w="1440" w:type="dxa"/>
            <w:vAlign w:val="center"/>
          </w:tcPr>
          <w:p w14:paraId="37C0F8A2" w14:textId="77777777" w:rsidR="00B15D13" w:rsidRPr="00833D10" w:rsidRDefault="00B15D13" w:rsidP="00193812">
            <w:pPr>
              <w:spacing w:line="0" w:lineRule="atLeast"/>
              <w:jc w:val="center"/>
              <w:rPr>
                <w:rFonts w:ascii="楷体" w:eastAsia="楷体" w:hAnsi="楷体"/>
                <w:sz w:val="24"/>
              </w:rPr>
            </w:pPr>
          </w:p>
        </w:tc>
      </w:tr>
      <w:tr w:rsidR="00B15D13" w14:paraId="2788ACD8" w14:textId="77777777" w:rsidTr="00193812">
        <w:trPr>
          <w:cantSplit/>
          <w:jc w:val="center"/>
        </w:trPr>
        <w:tc>
          <w:tcPr>
            <w:tcW w:w="1177" w:type="dxa"/>
            <w:gridSpan w:val="2"/>
            <w:vAlign w:val="center"/>
          </w:tcPr>
          <w:p w14:paraId="40382D63" w14:textId="77777777" w:rsidR="00B15D13" w:rsidRPr="00833D10" w:rsidRDefault="00B15D13" w:rsidP="00193812">
            <w:pPr>
              <w:spacing w:line="0" w:lineRule="atLeast"/>
              <w:jc w:val="center"/>
              <w:rPr>
                <w:rFonts w:ascii="楷体" w:eastAsia="楷体" w:hAnsi="楷体"/>
                <w:sz w:val="24"/>
              </w:rPr>
            </w:pPr>
            <w:r w:rsidRPr="00833D10">
              <w:rPr>
                <w:rFonts w:ascii="楷体" w:eastAsia="楷体" w:hAnsi="楷体" w:hint="eastAsia"/>
                <w:kern w:val="0"/>
                <w:sz w:val="24"/>
              </w:rPr>
              <w:t>指导教师</w:t>
            </w:r>
          </w:p>
        </w:tc>
        <w:tc>
          <w:tcPr>
            <w:tcW w:w="1844" w:type="dxa"/>
            <w:gridSpan w:val="2"/>
            <w:vAlign w:val="center"/>
          </w:tcPr>
          <w:p w14:paraId="463202A9" w14:textId="4636AC3E" w:rsidR="00B15D13" w:rsidRPr="00833D10" w:rsidRDefault="00B15D13" w:rsidP="00193812">
            <w:pPr>
              <w:spacing w:line="0" w:lineRule="atLeast"/>
              <w:rPr>
                <w:rFonts w:ascii="楷体" w:eastAsia="楷体" w:hAnsi="楷体"/>
                <w:sz w:val="24"/>
              </w:rPr>
            </w:pPr>
            <w:r>
              <w:rPr>
                <w:rFonts w:ascii="楷体" w:eastAsia="楷体" w:hAnsi="楷体" w:hint="eastAsia"/>
                <w:sz w:val="24"/>
              </w:rPr>
              <w:t>朱斐</w:t>
            </w:r>
          </w:p>
        </w:tc>
        <w:tc>
          <w:tcPr>
            <w:tcW w:w="1440" w:type="dxa"/>
            <w:gridSpan w:val="2"/>
            <w:vAlign w:val="center"/>
          </w:tcPr>
          <w:p w14:paraId="079CEE95" w14:textId="77777777" w:rsidR="00B15D13" w:rsidRPr="00833D10" w:rsidRDefault="00B15D13" w:rsidP="00193812">
            <w:pPr>
              <w:spacing w:line="0" w:lineRule="atLeast"/>
              <w:jc w:val="center"/>
              <w:rPr>
                <w:rFonts w:ascii="楷体" w:eastAsia="楷体" w:hAnsi="楷体"/>
                <w:sz w:val="24"/>
              </w:rPr>
            </w:pPr>
            <w:r w:rsidRPr="00833D10">
              <w:rPr>
                <w:rFonts w:ascii="楷体" w:eastAsia="楷体" w:hAnsi="楷体" w:hint="eastAsia"/>
                <w:kern w:val="0"/>
                <w:sz w:val="24"/>
              </w:rPr>
              <w:t>同组实验者</w:t>
            </w:r>
          </w:p>
        </w:tc>
        <w:tc>
          <w:tcPr>
            <w:tcW w:w="1761" w:type="dxa"/>
            <w:gridSpan w:val="2"/>
            <w:vAlign w:val="center"/>
          </w:tcPr>
          <w:p w14:paraId="2A796DCC" w14:textId="63A93DCB" w:rsidR="00B15D13" w:rsidRPr="00833D10" w:rsidRDefault="00B15D13" w:rsidP="00193812">
            <w:pPr>
              <w:spacing w:line="0" w:lineRule="atLeast"/>
              <w:jc w:val="center"/>
              <w:rPr>
                <w:rFonts w:ascii="楷体" w:eastAsia="楷体" w:hAnsi="楷体"/>
                <w:sz w:val="24"/>
              </w:rPr>
            </w:pPr>
            <w:r w:rsidRPr="00B15D13">
              <w:rPr>
                <w:rFonts w:ascii="楷体" w:eastAsia="楷体" w:hAnsi="楷体"/>
                <w:sz w:val="24"/>
              </w:rPr>
              <w:t>吴佳骏,彭光,赵紫楚,方浩楠</w:t>
            </w:r>
          </w:p>
        </w:tc>
        <w:tc>
          <w:tcPr>
            <w:tcW w:w="1260" w:type="dxa"/>
            <w:vAlign w:val="center"/>
          </w:tcPr>
          <w:p w14:paraId="0F75F045" w14:textId="77777777" w:rsidR="00B15D13" w:rsidRPr="00833D10" w:rsidRDefault="00B15D13" w:rsidP="00193812">
            <w:pPr>
              <w:spacing w:line="0" w:lineRule="atLeast"/>
              <w:jc w:val="center"/>
              <w:rPr>
                <w:rFonts w:ascii="楷体" w:eastAsia="楷体" w:hAnsi="楷体"/>
                <w:sz w:val="24"/>
              </w:rPr>
            </w:pPr>
            <w:r w:rsidRPr="00833D10">
              <w:rPr>
                <w:rFonts w:ascii="楷体" w:eastAsia="楷体" w:hAnsi="楷体" w:hint="eastAsia"/>
                <w:kern w:val="0"/>
                <w:sz w:val="24"/>
              </w:rPr>
              <w:t>实验日期</w:t>
            </w:r>
          </w:p>
        </w:tc>
        <w:tc>
          <w:tcPr>
            <w:tcW w:w="2160" w:type="dxa"/>
            <w:gridSpan w:val="2"/>
            <w:vAlign w:val="center"/>
          </w:tcPr>
          <w:p w14:paraId="3A8F53A5" w14:textId="159998EC" w:rsidR="00B15D13" w:rsidRPr="00833D10" w:rsidRDefault="00764478" w:rsidP="00193812">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023.11.30</w:t>
            </w:r>
          </w:p>
        </w:tc>
      </w:tr>
    </w:tbl>
    <w:p w14:paraId="415BB462" w14:textId="77777777" w:rsidR="00B15D13" w:rsidRDefault="00B15D13" w:rsidP="00B15D13">
      <w:pPr>
        <w:spacing w:before="100" w:beforeAutospacing="1" w:after="100" w:afterAutospacing="1"/>
        <w:rPr>
          <w:rFonts w:hint="eastAsia"/>
          <w:b/>
          <w:bCs/>
          <w:sz w:val="30"/>
        </w:rPr>
        <w:sectPr w:rsidR="00B15D13" w:rsidSect="00B15D13">
          <w:footerReference w:type="even" r:id="rId8"/>
          <w:footerReference w:type="default" r:id="rId9"/>
          <w:pgSz w:w="11906" w:h="16838"/>
          <w:pgMar w:top="1134" w:right="1304" w:bottom="1134" w:left="1304" w:header="851" w:footer="992" w:gutter="0"/>
          <w:cols w:space="720"/>
          <w:docGrid w:type="lines" w:linePitch="312"/>
        </w:sectPr>
      </w:pPr>
    </w:p>
    <w:p w14:paraId="7998FAC4" w14:textId="77777777" w:rsidR="00B15D13" w:rsidRPr="00B15D13" w:rsidRDefault="00B15D13" w:rsidP="00B15D13">
      <w:pPr>
        <w:rPr>
          <w:rFonts w:hint="eastAsia"/>
        </w:rPr>
      </w:pPr>
    </w:p>
    <w:p w14:paraId="74B48587" w14:textId="77777777" w:rsidR="00C537DC" w:rsidRDefault="00000000">
      <w:pPr>
        <w:pStyle w:val="3"/>
      </w:pPr>
      <w:r>
        <w:rPr>
          <w:rFonts w:hint="eastAsia"/>
        </w:rPr>
        <w:t>项目背景</w:t>
      </w:r>
    </w:p>
    <w:p w14:paraId="4C737E9C"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随着电子游戏产业的快速增长，游戏装备交易市场也呈现出爆炸性增长。许多玩家希望买卖游戏内的虚拟物品和装备，以改善游戏体验。目前，市场上存在着许多分散的平台和市场，缺乏安全、透明和可靠的方式来进行游戏装备的交易。因此，我们提出了建立一个综合的游戏装备交易平台的想法，以满足玩家的需求并提高市场的透明度。</w:t>
      </w:r>
    </w:p>
    <w:p w14:paraId="05CCF62D" w14:textId="77777777" w:rsidR="00C537DC" w:rsidRDefault="00000000">
      <w:pPr>
        <w:pStyle w:val="3"/>
      </w:pPr>
      <w:r>
        <w:rPr>
          <w:rFonts w:hint="eastAsia"/>
        </w:rPr>
        <w:t>项目的意义</w:t>
      </w:r>
    </w:p>
    <w:p w14:paraId="230CC51C" w14:textId="77777777" w:rsidR="00C537DC" w:rsidRDefault="00000000">
      <w:pPr>
        <w:numPr>
          <w:ilvl w:val="0"/>
          <w:numId w:val="4"/>
        </w:numPr>
        <w:rPr>
          <w:rFonts w:ascii="Songti SC Regular" w:eastAsia="Songti SC Regular" w:hAnsi="Songti SC Regular" w:cs="Songti SC Regular"/>
        </w:rPr>
      </w:pPr>
      <w:r>
        <w:rPr>
          <w:rFonts w:ascii="Songti SC Regular" w:eastAsia="Songti SC Regular" w:hAnsi="Songti SC Regular" w:cs="Songti SC Regular" w:hint="eastAsia"/>
        </w:rPr>
        <w:t>满足玩家需求：许多游戏玩家希望在游戏中获得特定的虚拟物品或装备，但不一定想通过游戏内的时间投入来获得它们。游戏装备交易平台可以满足这些玩家的需求，让他们购买所需的物品，提高游戏体验。</w:t>
      </w:r>
    </w:p>
    <w:p w14:paraId="3BF295D1" w14:textId="77777777" w:rsidR="00C537DC" w:rsidRDefault="00000000">
      <w:pPr>
        <w:numPr>
          <w:ilvl w:val="0"/>
          <w:numId w:val="4"/>
        </w:numPr>
        <w:rPr>
          <w:rFonts w:ascii="Songti SC Regular" w:eastAsia="Songti SC Regular" w:hAnsi="Songti SC Regular" w:cs="Songti SC Regular"/>
        </w:rPr>
      </w:pPr>
      <w:r>
        <w:rPr>
          <w:rFonts w:ascii="Songti SC Regular" w:eastAsia="Songti SC Regular" w:hAnsi="Songti SC Regular" w:cs="Songti SC Regular" w:hint="eastAsia"/>
        </w:rPr>
        <w:t>创造经济机会：游戏装备交易平台可以成为一个新兴的经济市场，为玩家、开发者和第三方销售商提供了赚钱的机会。玩家可以出售他们不再需要的物品，开发者可以获得额外的收入，第三方销售商可以提供服务和物品，从中赚取利润。</w:t>
      </w:r>
    </w:p>
    <w:p w14:paraId="646A5A2D" w14:textId="77777777" w:rsidR="00C537DC" w:rsidRDefault="00000000">
      <w:pPr>
        <w:numPr>
          <w:ilvl w:val="0"/>
          <w:numId w:val="4"/>
        </w:numPr>
        <w:rPr>
          <w:rFonts w:ascii="Songti SC Regular" w:eastAsia="Songti SC Regular" w:hAnsi="Songti SC Regular" w:cs="Songti SC Regular"/>
        </w:rPr>
      </w:pPr>
      <w:r>
        <w:rPr>
          <w:rFonts w:ascii="Songti SC Regular" w:eastAsia="Songti SC Regular" w:hAnsi="Songti SC Regular" w:cs="Songti SC Regular" w:hint="eastAsia"/>
        </w:rPr>
        <w:t>打击黑市和非法交易：虚拟游戏物品的非法交易和黑市活动在游戏产业中相当常见。游戏装备交易平台可以提供合法、安全的交易环境，减少非法交易和游戏内的欺诈行为。</w:t>
      </w:r>
    </w:p>
    <w:p w14:paraId="5F1255B9"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促进社交互动：玩家之间的物品交易可以促进社交互动和社群建设。这种互动可以加强游戏社区，增加玩家对游戏的忠诚度。</w:t>
      </w:r>
    </w:p>
    <w:p w14:paraId="5D6F9131" w14:textId="77777777" w:rsidR="00C537DC" w:rsidRDefault="00000000">
      <w:pPr>
        <w:numPr>
          <w:ilvl w:val="0"/>
          <w:numId w:val="4"/>
        </w:numPr>
        <w:rPr>
          <w:rFonts w:ascii="Songti SC Regular" w:eastAsia="Songti SC Regular" w:hAnsi="Songti SC Regular" w:cs="Songti SC Regular"/>
        </w:rPr>
      </w:pPr>
      <w:r>
        <w:rPr>
          <w:rFonts w:ascii="Songti SC Regular" w:eastAsia="Songti SC Regular" w:hAnsi="Songti SC Regular" w:cs="Songti SC Regular" w:hint="eastAsia"/>
        </w:rPr>
        <w:t>提高游戏的可持续性：游戏装备交易平台可以为游戏提供额外的收入来源，使开发者能够更长时间地支持和维护游戏。这有助于提高游戏的可持续性，延长其寿命。</w:t>
      </w:r>
    </w:p>
    <w:p w14:paraId="1C21EFBA" w14:textId="77777777" w:rsidR="00C537DC" w:rsidRDefault="00000000">
      <w:pPr>
        <w:pStyle w:val="3"/>
      </w:pPr>
      <w:r>
        <w:rPr>
          <w:rFonts w:hint="eastAsia"/>
        </w:rPr>
        <w:lastRenderedPageBreak/>
        <w:t>项目的市场预测</w:t>
      </w:r>
    </w:p>
    <w:p w14:paraId="5CF66DC3"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以《Counter-Strike: Global Offensive》（简称CS:GO）和《Dota 2》为例，我们可以更具体地了解游戏装备交易平台项目的市场预测。</w:t>
      </w:r>
    </w:p>
    <w:p w14:paraId="74DDBEB5"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CS:GO是一款流行的射击游戏，其中有各种各样的武器和装备，如枪支、刀具、外观等。市场预测显示，CS:GO的装备交易市场非常庞大，并且在过去几年中持续增长。以下是一些关于CS:GO装备交易市场的重要数据和趋势：</w:t>
      </w:r>
    </w:p>
    <w:p w14:paraId="79EA2308"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交易量：CS:GO的装备交易市场在Steam平台上非常活跃。每天有成千上万的玩家在市场上买卖物品。</w:t>
      </w:r>
    </w:p>
    <w:p w14:paraId="264EDEB9"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价值：一些稀有的CS:GO物品可以以数百美元乃至数千美元的价格交易。这些物品的稀有性和外观是确定其价值的关键因素。</w:t>
      </w:r>
    </w:p>
    <w:p w14:paraId="3AC31994"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市场平台：Steam市场是主要的交易平台，但也有第三方市场和网站，如</w:t>
      </w:r>
      <w:proofErr w:type="spellStart"/>
      <w:r>
        <w:rPr>
          <w:rFonts w:ascii="Songti SC Regular" w:eastAsia="Songti SC Regular" w:hAnsi="Songti SC Regular" w:cs="Songti SC Regular" w:hint="eastAsia"/>
        </w:rPr>
        <w:t>OPskins</w:t>
      </w:r>
      <w:proofErr w:type="spellEnd"/>
      <w:r>
        <w:rPr>
          <w:rFonts w:ascii="Songti SC Regular" w:eastAsia="Songti SC Regular" w:hAnsi="Songti SC Regular" w:cs="Songti SC Regular" w:hint="eastAsia"/>
        </w:rPr>
        <w:t>和</w:t>
      </w:r>
      <w:proofErr w:type="spellStart"/>
      <w:r>
        <w:rPr>
          <w:rFonts w:ascii="Songti SC Regular" w:eastAsia="Songti SC Regular" w:hAnsi="Songti SC Regular" w:cs="Songti SC Regular" w:hint="eastAsia"/>
        </w:rPr>
        <w:t>BitSkins</w:t>
      </w:r>
      <w:proofErr w:type="spellEnd"/>
      <w:r>
        <w:rPr>
          <w:rFonts w:ascii="Songti SC Regular" w:eastAsia="Songti SC Regular" w:hAnsi="Songti SC Regular" w:cs="Songti SC Regular" w:hint="eastAsia"/>
        </w:rPr>
        <w:t>，提供了额外的交易选择。</w:t>
      </w:r>
    </w:p>
    <w:p w14:paraId="69B90959"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投资和收入：一些玩家将CS:GO物品视为投资，希望在将来能够获得更高的回报。一些专业玩家和内容创作者通过装备交易市场赚取收入，促进了该市场的增长。</w:t>
      </w:r>
    </w:p>
    <w:p w14:paraId="7AA87937"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Dota 2是一款竞技游戏，玩家可以获取各种英雄、装备、外观等。以下是一些关于Dota 2装备交易市场的市场预测要点：</w:t>
      </w:r>
    </w:p>
    <w:p w14:paraId="2C3F23AD"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交易活跃度：与CS:GO一样，Dota 2的装备交易市场也非常活跃。数以百万计的玩家每天进行着交易、购买和出售。</w:t>
      </w:r>
    </w:p>
    <w:p w14:paraId="0D485E85"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国际锦标赛：Dota 2的国际锦标赛每年都吸引了数百万美元的奖金，这进一步推动了玩家对游戏内物品的兴趣和价值。</w:t>
      </w:r>
    </w:p>
    <w:p w14:paraId="2C5ED069"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外观和稀有物品：Dota 2的外观和稀有物品对许多玩家而言非常重要，他们愿意花费大量金钱来获取独特的外观和装备。</w:t>
      </w:r>
    </w:p>
    <w:p w14:paraId="4C6E198C" w14:textId="77777777" w:rsidR="00C537DC" w:rsidRDefault="00000000">
      <w:pPr>
        <w:pStyle w:val="3"/>
      </w:pPr>
      <w:r>
        <w:rPr>
          <w:rFonts w:hint="eastAsia"/>
        </w:rPr>
        <w:lastRenderedPageBreak/>
        <w:t>项目建设必需的条件</w:t>
      </w:r>
    </w:p>
    <w:p w14:paraId="36D6DBB0" w14:textId="77777777" w:rsidR="00C537DC" w:rsidRDefault="00000000">
      <w:pPr>
        <w:ind w:firstLine="420"/>
      </w:pPr>
      <w:r>
        <w:rPr>
          <w:rFonts w:hint="eastAsia"/>
        </w:rPr>
        <w:t>要建设一个游戏装备交易平台的项目，必需的条件有以下几点：</w:t>
      </w:r>
    </w:p>
    <w:p w14:paraId="6BB6C1E1" w14:textId="77777777" w:rsidR="00C537DC" w:rsidRDefault="00000000">
      <w:pPr>
        <w:ind w:firstLine="420"/>
      </w:pPr>
      <w:r>
        <w:rPr>
          <w:rFonts w:hint="eastAsia"/>
        </w:rPr>
        <w:t>有一支专业的技术团队，能够开发和维护平台的网站或应用，以及与各种游戏的接口和数据交互。技术团队还要能够保证平台的安全性、稳定性、可扩展性和用户友好性。</w:t>
      </w:r>
    </w:p>
    <w:p w14:paraId="5D38D7DD" w14:textId="77777777" w:rsidR="00C537DC" w:rsidRDefault="00000000">
      <w:pPr>
        <w:ind w:firstLine="420"/>
      </w:pPr>
      <w:r>
        <w:rPr>
          <w:rFonts w:hint="eastAsia"/>
        </w:rPr>
        <w:t>有一套合法的商业模式，能够为平台提供合理的收入来源，同时遵守相关的法律法规和游戏厂商的规定。商业模式还要能够吸引和留住用户，提高平台的竞争力和品牌影响力。</w:t>
      </w:r>
    </w:p>
    <w:p w14:paraId="68BE0E2D" w14:textId="77777777" w:rsidR="00C537DC" w:rsidRDefault="00000000">
      <w:pPr>
        <w:ind w:firstLine="420"/>
      </w:pPr>
      <w:r>
        <w:rPr>
          <w:rFonts w:hint="eastAsia"/>
        </w:rPr>
        <w:t>有一定的资金支持，能够投入到平台的开发、运营、推广、客服等方面。资金支持还要能够应对可能出现的风险和挑战，如市场变化、用户投诉、法律纠纷等。</w:t>
      </w:r>
    </w:p>
    <w:p w14:paraId="5E32CCD5" w14:textId="77777777" w:rsidR="00C537DC" w:rsidRDefault="00000000">
      <w:pPr>
        <w:ind w:firstLine="420"/>
      </w:pPr>
      <w:r>
        <w:rPr>
          <w:rFonts w:hint="eastAsia"/>
        </w:rPr>
        <w:t>有一定的市场调研和分析能力，能够了解和满足用户的需求和喜好，以及掌握和预测市场的动态和趋势。市场调研和分析还要能够为平台提供有价值的数据和建议，以优化平台的功能和服务。</w:t>
      </w:r>
    </w:p>
    <w:p w14:paraId="5DE8E437" w14:textId="77777777" w:rsidR="00C537DC" w:rsidRDefault="00000000">
      <w:pPr>
        <w:pStyle w:val="3"/>
      </w:pPr>
      <w:r>
        <w:rPr>
          <w:rFonts w:hint="eastAsia"/>
        </w:rPr>
        <w:t>项目投资估算</w:t>
      </w:r>
    </w:p>
    <w:p w14:paraId="4A87EDD8"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网易BUFF是一个游戏装备交易平台，主要支持CS:GO、DOTA2、超凡先锋、RUST等Steam游戏的饰品交易。要估算该项目的投资，我们可以从以下几个方面考虑：</w:t>
      </w:r>
    </w:p>
    <w:p w14:paraId="5BBC4578" w14:textId="091DE755"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平台的开发和维护成本。这包括了平台的网站或应用的设计、开发、测试、上线、更新、优化等各个环节的人力和物力投入，以及与各种游戏的接口和数据交互的技术支持和协调。根据相关报道，网易BUFF于2018年12月上线，当时有约30人的技术团队，后续可能会增加更多的技术人员和设备。我们可以假设平台的开发和维护成本为每年500万元左右。</w:t>
      </w:r>
    </w:p>
    <w:p w14:paraId="60C1E9CE" w14:textId="518C296C"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平台的运营和推广成本。这包括了平台的客服、审核、风控、营销、品牌、合作等各个方面的人力和物力投入，以及为了吸引和留住用户而提供的各种活动、优惠、福利等。根据相关报道2，网易BUFF于2019年10月已累计注册用户超过1000万，日活跃用户超过100万，</w:t>
      </w:r>
      <w:r>
        <w:rPr>
          <w:rFonts w:ascii="Songti SC Regular" w:eastAsia="Songti SC Regular" w:hAnsi="Songti SC Regular" w:cs="Songti SC Regular" w:hint="eastAsia"/>
        </w:rPr>
        <w:lastRenderedPageBreak/>
        <w:t>日均交易量超过100万件，在国内游戏装备交易平台中占据了绝对优势3。我们可以假设平台的运营和推广成本为每年</w:t>
      </w:r>
      <w:r w:rsidR="00CC28CB">
        <w:rPr>
          <w:rFonts w:ascii="Songti SC Regular" w:eastAsia="Songti SC Regular" w:hAnsi="Songti SC Regular" w:cs="Songti SC Regular"/>
        </w:rPr>
        <w:t>200</w:t>
      </w:r>
      <w:r>
        <w:rPr>
          <w:rFonts w:ascii="Songti SC Regular" w:eastAsia="Songti SC Regular" w:hAnsi="Songti SC Regular" w:cs="Songti SC Regular" w:hint="eastAsia"/>
        </w:rPr>
        <w:t>万元左右。</w:t>
      </w:r>
    </w:p>
    <w:p w14:paraId="0A335C2E" w14:textId="77777777" w:rsidR="00C537DC" w:rsidRDefault="00000000">
      <w:pPr>
        <w:pStyle w:val="3"/>
      </w:pPr>
      <w:r>
        <w:rPr>
          <w:rFonts w:hint="eastAsia"/>
        </w:rPr>
        <w:t>项目市场前景及其经济效益</w:t>
      </w:r>
    </w:p>
    <w:p w14:paraId="6F640A1A"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游戏装备交易平台的市场前景和经济效益可以从以下几个方面来分析：</w:t>
      </w:r>
    </w:p>
    <w:p w14:paraId="6BE48CE4"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市场需求:游戏装备交易平台是满足游戏玩家之间的虚拟物品交易需求的服务，这种需求是由游戏本身的特性和玩家的心理驱动的。游戏本身的特性，如随机性、稀缺性、个性化等，使得游戏中的虚拟物品具有一定的价值和意义，而玩家的心理驱动，如成就感、归属感、展示欲等，使得玩家愿意为了获取或出售自己喜欢或不喜欢的虚拟物品而进行交易。随着游戏行业的发展和创新，以及玩家群体的扩大和多元化，游戏装备交易平台的市场需求将持续增长 。</w:t>
      </w:r>
    </w:p>
    <w:p w14:paraId="39FDF400"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市场规模:根据相关数据 ，全球游戏市场规模在2020年达到了1599亿美元，预计到2023年将增长到2005亿美元，其中中国是最大的游戏市场，占比约28%。而全球游戏装备交易市场规模在2020年达到了170亿美元，预计到2023年将增长到230亿美元，其中中国也是最大的游戏装备交易市场，占比约40%。这些数据表明，游戏装备交易平台所面对的市场规模是非常庞大和有潜力的。</w:t>
      </w:r>
    </w:p>
    <w:p w14:paraId="5E867080"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市场竞争:游戏装备交易平台的市场竞争主要来自以下几个方面：一是游戏厂商自身提供的官方交易平台或渠道，如Steam、Epic Games等；二是其他第三方提供的游戏装备交易平台或应用，如网易BUFF、</w:t>
      </w:r>
      <w:proofErr w:type="spellStart"/>
      <w:r>
        <w:rPr>
          <w:rFonts w:ascii="Songti SC Regular" w:eastAsia="Songti SC Regular" w:hAnsi="Songti SC Regular" w:cs="Songti SC Regular" w:hint="eastAsia"/>
        </w:rPr>
        <w:t>OPskins</w:t>
      </w:r>
      <w:proofErr w:type="spellEnd"/>
      <w:r>
        <w:rPr>
          <w:rFonts w:ascii="Songti SC Regular" w:eastAsia="Songti SC Regular" w:hAnsi="Songti SC Regular" w:cs="Songti SC Regular" w:hint="eastAsia"/>
        </w:rPr>
        <w:t>等；三是一些非正规或非法的游戏装备交易方式，如私下交易、黑市交易等。这些竞争对手都有各自的优势和劣势，如官方平台或渠道通常更安全、可信、便捷，但也可能更贵、更限制、更缺乏多样性；其他第三方平台或应用通常更便宜、更灵活、更丰富，但也可能更不安全、不可信、不便捷；非正规或非法方式通常更隐秘、</w:t>
      </w:r>
      <w:r>
        <w:rPr>
          <w:rFonts w:ascii="Songti SC Regular" w:eastAsia="Songti SC Regular" w:hAnsi="Songti SC Regular" w:cs="Songti SC Regular" w:hint="eastAsia"/>
        </w:rPr>
        <w:lastRenderedPageBreak/>
        <w:t>更自由、更刺激，但也可能更危险、更违法、更无保障。因此，游戏装备交易平台要想在市场上获得优势和竞争力，就需要在安全性、稳定性、可靠性、便利性、价格性、多样性等方面做出差异化和创新。</w:t>
      </w:r>
    </w:p>
    <w:p w14:paraId="6696C9CC"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经济效益:游戏装备交易平台的经济效益主要体现在以下几个方面：一是平台本身可以从用户的交易中收取一定比例的手续费和提现费，以及从用户的充值中赚取一定比例的利润；二是平台可以通过提供一些增值服务和功能来吸引和留住用户，如饰品鉴定、价格分析、资讯推送、社区互动等，并从中收取一定费用或广告收入；三是平台可以通过与游戏厂商或其他合作伙伴进行合作或联动来扩大自己的影响力和品牌价值，并从中获得一定的分成或补贴。根据我们之前对网易BUFF的投资估算，我们可以看出，游戏装备交易平台的经济效益是非常显著和可观的。</w:t>
      </w:r>
    </w:p>
    <w:p w14:paraId="41C87525" w14:textId="77777777" w:rsidR="00C537DC" w:rsidRDefault="00C537DC">
      <w:pPr>
        <w:rPr>
          <w:rFonts w:ascii="Songti SC Regular" w:eastAsia="Songti SC Regular" w:hAnsi="Songti SC Regular" w:cs="Songti SC Regular"/>
        </w:rPr>
      </w:pPr>
    </w:p>
    <w:p w14:paraId="4242E4B5" w14:textId="19D6AA55"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平台的主要收入来源是从用户的交易中抽取一定比例的手续费，以及从用户的提现中抽取一定比例的提现费。根据网易BUFF的官网，平台目前对于饰品交易收取2.5%的手续费，对于提现收取1%的提现费。我们可以假设平台的平均交易价格为50元，平均提现金额为100元，那么平台每笔交易能收入1.25元，每笔提现能收入1元。如果平台每天有1万件交易，那么每天能收入1</w:t>
      </w:r>
      <w:r w:rsidR="00CC28CB">
        <w:rPr>
          <w:rFonts w:ascii="Songti SC Regular" w:eastAsia="Songti SC Regular" w:hAnsi="Songti SC Regular" w:cs="Songti SC Regular"/>
        </w:rPr>
        <w:t>.</w:t>
      </w:r>
      <w:r>
        <w:rPr>
          <w:rFonts w:ascii="Songti SC Regular" w:eastAsia="Songti SC Regular" w:hAnsi="Songti SC Regular" w:cs="Songti SC Regular" w:hint="eastAsia"/>
        </w:rPr>
        <w:t>25万元；如果平台每天有</w:t>
      </w:r>
      <w:r w:rsidR="00CC28CB">
        <w:rPr>
          <w:rFonts w:ascii="Songti SC Regular" w:eastAsia="Songti SC Regular" w:hAnsi="Songti SC Regular" w:cs="Songti SC Regular"/>
        </w:rPr>
        <w:t>1000</w:t>
      </w:r>
      <w:r>
        <w:rPr>
          <w:rFonts w:ascii="Songti SC Regular" w:eastAsia="Songti SC Regular" w:hAnsi="Songti SC Regular" w:cs="Songti SC Regular" w:hint="eastAsia"/>
        </w:rPr>
        <w:t>笔提现，那么每天能收入</w:t>
      </w:r>
      <w:r w:rsidR="00CC28CB">
        <w:rPr>
          <w:rFonts w:ascii="Songti SC Regular" w:eastAsia="Songti SC Regular" w:hAnsi="Songti SC Regular" w:cs="Songti SC Regular" w:hint="eastAsia"/>
        </w:rPr>
        <w:t>0</w:t>
      </w:r>
      <w:r w:rsidR="00CC28CB">
        <w:rPr>
          <w:rFonts w:ascii="Songti SC Regular" w:eastAsia="Songti SC Regular" w:hAnsi="Songti SC Regular" w:cs="Songti SC Regular"/>
        </w:rPr>
        <w:t>.</w:t>
      </w:r>
      <w:r>
        <w:rPr>
          <w:rFonts w:ascii="Songti SC Regular" w:eastAsia="Songti SC Regular" w:hAnsi="Songti SC Regular" w:cs="Songti SC Regular" w:hint="eastAsia"/>
        </w:rPr>
        <w:t>1万元。那么平台每年的总收入为</w:t>
      </w:r>
      <w:r w:rsidR="00CC28CB">
        <w:rPr>
          <w:rFonts w:ascii="Songti SC Regular" w:eastAsia="Songti SC Regular" w:hAnsi="Songti SC Regular" w:cs="Songti SC Regular" w:hint="eastAsia"/>
        </w:rPr>
        <w:t>1</w:t>
      </w:r>
      <w:r w:rsidR="00CC28CB">
        <w:rPr>
          <w:rFonts w:ascii="Songti SC Regular" w:eastAsia="Songti SC Regular" w:hAnsi="Songti SC Regular" w:cs="Songti SC Regular"/>
        </w:rPr>
        <w:t>.35</w:t>
      </w:r>
      <w:r>
        <w:rPr>
          <w:rFonts w:ascii="Songti SC Regular" w:eastAsia="Songti SC Regular" w:hAnsi="Songti SC Regular" w:cs="Songti SC Regular" w:hint="eastAsia"/>
        </w:rPr>
        <w:t>万元。如果扣除上述的开发和维护成本以及运营和推广成本，那么平台每年的净利润为49</w:t>
      </w:r>
      <w:r w:rsidR="00CC28CB">
        <w:rPr>
          <w:rFonts w:ascii="Songti SC Regular" w:eastAsia="Songti SC Regular" w:hAnsi="Songti SC Regular" w:cs="Songti SC Regular"/>
        </w:rPr>
        <w:t>2.75 – 200 = 292.75</w:t>
      </w:r>
      <w:r>
        <w:rPr>
          <w:rFonts w:ascii="Songti SC Regular" w:eastAsia="Songti SC Regular" w:hAnsi="Songti SC Regular" w:cs="Songti SC Regular" w:hint="eastAsia"/>
        </w:rPr>
        <w:t>万元</w:t>
      </w:r>
    </w:p>
    <w:p w14:paraId="1B4CCC8C" w14:textId="77777777" w:rsidR="00C537DC" w:rsidRDefault="00000000">
      <w:r>
        <w:rPr>
          <w:rFonts w:hint="eastAsia"/>
        </w:rPr>
        <w:t>综上所述，网易</w:t>
      </w:r>
      <w:r>
        <w:rPr>
          <w:rFonts w:hint="eastAsia"/>
        </w:rPr>
        <w:t>BUFF</w:t>
      </w:r>
      <w:r>
        <w:rPr>
          <w:rFonts w:hint="eastAsia"/>
        </w:rPr>
        <w:t>作为一个游戏装备交易平台，其项目投资估算如下：</w:t>
      </w:r>
    </w:p>
    <w:p w14:paraId="6C4FD3B3" w14:textId="44FBB016"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开发和维护成本：约</w:t>
      </w:r>
      <w:r w:rsidR="00CC28CB">
        <w:rPr>
          <w:rFonts w:ascii="Songti SC Regular" w:eastAsia="Songti SC Regular" w:hAnsi="Songti SC Regular" w:cs="Songti SC Regular"/>
        </w:rPr>
        <w:t>100</w:t>
      </w:r>
      <w:r>
        <w:rPr>
          <w:rFonts w:ascii="Songti SC Regular" w:eastAsia="Songti SC Regular" w:hAnsi="Songti SC Regular" w:cs="Songti SC Regular" w:hint="eastAsia"/>
        </w:rPr>
        <w:t>万元/年</w:t>
      </w:r>
    </w:p>
    <w:p w14:paraId="4D7966BF" w14:textId="069F1CCE"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运营和推广成本：约100万元/年</w:t>
      </w:r>
    </w:p>
    <w:p w14:paraId="45679CCE"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收入来源：饰品交易手续费和提现费</w:t>
      </w:r>
    </w:p>
    <w:p w14:paraId="32F7687F" w14:textId="6076B1B8"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lastRenderedPageBreak/>
        <w:t>总收入：约</w:t>
      </w:r>
      <w:r w:rsidR="00CC28CB">
        <w:rPr>
          <w:rFonts w:ascii="Songti SC Regular" w:eastAsia="Songti SC Regular" w:hAnsi="Songti SC Regular" w:cs="Songti SC Regular"/>
        </w:rPr>
        <w:t>292.75</w:t>
      </w:r>
      <w:r>
        <w:rPr>
          <w:rFonts w:ascii="Songti SC Regular" w:eastAsia="Songti SC Regular" w:hAnsi="Songti SC Regular" w:cs="Songti SC Regular" w:hint="eastAsia"/>
        </w:rPr>
        <w:t>万元/年</w:t>
      </w:r>
    </w:p>
    <w:p w14:paraId="5870ABEC" w14:textId="005D081A"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净利润：约</w:t>
      </w:r>
      <w:r w:rsidR="00CC28CB">
        <w:rPr>
          <w:rFonts w:ascii="Songti SC Regular" w:eastAsia="Songti SC Regular" w:hAnsi="Songti SC Regular" w:cs="Songti SC Regular"/>
        </w:rPr>
        <w:t>292.7</w:t>
      </w:r>
      <w:r>
        <w:rPr>
          <w:rFonts w:ascii="Songti SC Regular" w:eastAsia="Songti SC Regular" w:hAnsi="Songti SC Regular" w:cs="Songti SC Regular" w:hint="eastAsia"/>
        </w:rPr>
        <w:t>5万元/年</w:t>
      </w:r>
    </w:p>
    <w:p w14:paraId="5A745552"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这些数据仅供参考，实际情况可能有所差异。</w:t>
      </w:r>
    </w:p>
    <w:sectPr w:rsidR="00C537DC">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C2FD0" w14:textId="77777777" w:rsidR="001041C2" w:rsidRDefault="001041C2">
      <w:r>
        <w:separator/>
      </w:r>
    </w:p>
  </w:endnote>
  <w:endnote w:type="continuationSeparator" w:id="0">
    <w:p w14:paraId="3CB1CA56" w14:textId="77777777" w:rsidR="001041C2" w:rsidRDefault="00104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Times New Roman (正文 CS 字体)">
    <w:altName w:val="宋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ongti SC Regular">
    <w:altName w:val="Songti SC"/>
    <w:panose1 w:val="02010600040101010101"/>
    <w:charset w:val="86"/>
    <w:family w:val="auto"/>
    <w:pitch w:val="variable"/>
    <w:sig w:usb0="00000287" w:usb1="080F0000" w:usb2="00000010" w:usb3="00000000" w:csb0="0004009F" w:csb1="00000000"/>
  </w:font>
  <w:font w:name="楷体">
    <w:altName w:val="KaiT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EC3D" w14:textId="77777777" w:rsidR="00B15D13" w:rsidRDefault="00B15D13">
    <w:pPr>
      <w:pStyle w:val="a4"/>
      <w:framePr w:wrap="around" w:vAnchor="text" w:hAnchor="margin" w:xAlign="center" w:y="1"/>
      <w:rPr>
        <w:rStyle w:val="a8"/>
      </w:rPr>
    </w:pPr>
    <w:r>
      <w:fldChar w:fldCharType="begin"/>
    </w:r>
    <w:r>
      <w:rPr>
        <w:rStyle w:val="a8"/>
      </w:rPr>
      <w:instrText xml:space="preserve">PAGE  </w:instrText>
    </w:r>
    <w:r>
      <w:fldChar w:fldCharType="end"/>
    </w:r>
  </w:p>
  <w:p w14:paraId="5B2ADBCA" w14:textId="77777777" w:rsidR="00B15D13" w:rsidRDefault="00B15D1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2391" w14:textId="77777777" w:rsidR="00B15D13" w:rsidRDefault="00B15D13">
    <w:pPr>
      <w:pStyle w:val="a4"/>
      <w:framePr w:wrap="around" w:vAnchor="text" w:hAnchor="margin" w:xAlign="center" w:y="1"/>
      <w:rPr>
        <w:rStyle w:val="a8"/>
      </w:rPr>
    </w:pPr>
  </w:p>
  <w:p w14:paraId="1CC4290D" w14:textId="77777777" w:rsidR="00B15D13" w:rsidRDefault="00B15D13">
    <w:pPr>
      <w:pStyle w:val="a4"/>
      <w:framePr w:wrap="around" w:vAnchor="text" w:hAnchor="margin" w:xAlign="center" w:y="1"/>
      <w:jc w:val="center"/>
      <w:rPr>
        <w:rStyle w:val="a8"/>
      </w:rPr>
    </w:pPr>
    <w:r>
      <w:rPr>
        <w:rStyle w:val="a8"/>
        <w:rFonts w:hint="eastAsia"/>
      </w:rPr>
      <w:t>第</w:t>
    </w:r>
    <w:r>
      <w:fldChar w:fldCharType="begin"/>
    </w:r>
    <w:r>
      <w:rPr>
        <w:rStyle w:val="a8"/>
      </w:rPr>
      <w:instrText xml:space="preserve">PAGE  </w:instrText>
    </w:r>
    <w:r>
      <w:fldChar w:fldCharType="separate"/>
    </w:r>
    <w:r>
      <w:rPr>
        <w:rStyle w:val="a8"/>
      </w:rPr>
      <w:t>3</w:t>
    </w:r>
    <w:r>
      <w:fldChar w:fldCharType="end"/>
    </w:r>
    <w:r>
      <w:rPr>
        <w:rStyle w:val="a8"/>
        <w:rFonts w:hint="eastAsia"/>
      </w:rPr>
      <w:t>页，共</w:t>
    </w:r>
    <w:r>
      <w:fldChar w:fldCharType="begin"/>
    </w:r>
    <w:r>
      <w:rPr>
        <w:rStyle w:val="a8"/>
      </w:rPr>
      <w:instrText xml:space="preserve"> NUMPAGES </w:instrText>
    </w:r>
    <w:r>
      <w:fldChar w:fldCharType="separate"/>
    </w:r>
    <w:r>
      <w:rPr>
        <w:rStyle w:val="a8"/>
      </w:rPr>
      <w:t>3</w:t>
    </w:r>
    <w:r>
      <w:fldChar w:fldCharType="end"/>
    </w:r>
    <w:r>
      <w:rPr>
        <w:rStyle w:val="a8"/>
        <w:rFonts w:hint="eastAsia"/>
      </w:rPr>
      <w:t>页</w:t>
    </w:r>
  </w:p>
  <w:p w14:paraId="2C67941E" w14:textId="77777777" w:rsidR="00B15D13" w:rsidRDefault="00B15D13">
    <w:pPr>
      <w:pStyle w:val="a4"/>
      <w:spacing w:beforeLines="100" w:before="240"/>
      <w:jc w:val="right"/>
      <w:rPr>
        <w:rFonts w:eastAsia="楷体_GB2312"/>
        <w:sz w:val="24"/>
      </w:rPr>
    </w:pPr>
    <w:r>
      <w:rPr>
        <w:rFonts w:eastAsia="楷体_GB2312" w:hint="eastAsia"/>
        <w:sz w:val="24"/>
      </w:rPr>
      <w:t>教务处制</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3B1FC" w14:textId="77777777" w:rsidR="00C537DC" w:rsidRDefault="00000000">
    <w:pPr>
      <w:pStyle w:val="a4"/>
    </w:pPr>
    <w:r>
      <w:rPr>
        <w:noProof/>
      </w:rPr>
      <mc:AlternateContent>
        <mc:Choice Requires="wps">
          <w:drawing>
            <wp:anchor distT="0" distB="0" distL="114300" distR="114300" simplePos="0" relativeHeight="251659264" behindDoc="0" locked="0" layoutInCell="1" allowOverlap="1" wp14:anchorId="1E361B3E" wp14:editId="1CBFE38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8899AC0" w14:textId="77777777" w:rsidR="00C537DC" w:rsidRDefault="00000000">
                          <w:pPr>
                            <w:pStyle w:val="a4"/>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1</w:t>
                            </w:r>
                          </w:fldSimple>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361B3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" filled="f" fillcolor="white [3201]" stroked="f" strokeweight=".5pt">
              <v:textbox style="mso-fit-shape-to-text:t" inset="0,0,0,0">
                <w:txbxContent>
                  <w:p w14:paraId="08899AC0" w14:textId="77777777" w:rsidR="00C537DC" w:rsidRDefault="00000000">
                    <w:pPr>
                      <w:pStyle w:val="a4"/>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1</w:t>
                      </w:r>
                    </w:fldSimple>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3B30A" w14:textId="77777777" w:rsidR="001041C2" w:rsidRDefault="001041C2">
      <w:r>
        <w:separator/>
      </w:r>
    </w:p>
  </w:footnote>
  <w:footnote w:type="continuationSeparator" w:id="0">
    <w:p w14:paraId="01865020" w14:textId="77777777" w:rsidR="001041C2" w:rsidRDefault="00104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F00683"/>
    <w:multiLevelType w:val="singleLevel"/>
    <w:tmpl w:val="D6F00683"/>
    <w:lvl w:ilvl="0">
      <w:start w:val="1"/>
      <w:numFmt w:val="chineseCounting"/>
      <w:pStyle w:val="2"/>
      <w:suff w:val="nothing"/>
      <w:lvlText w:val="%1、"/>
      <w:lvlJc w:val="left"/>
      <w:pPr>
        <w:ind w:left="0" w:firstLine="420"/>
      </w:pPr>
      <w:rPr>
        <w:rFonts w:hint="eastAsia"/>
      </w:rPr>
    </w:lvl>
  </w:abstractNum>
  <w:abstractNum w:abstractNumId="1" w15:restartNumberingAfterBreak="0">
    <w:nsid w:val="F546D166"/>
    <w:multiLevelType w:val="singleLevel"/>
    <w:tmpl w:val="F546D166"/>
    <w:lvl w:ilvl="0">
      <w:start w:val="1"/>
      <w:numFmt w:val="decimal"/>
      <w:pStyle w:val="3"/>
      <w:lvlText w:val="%1."/>
      <w:lvlJc w:val="left"/>
      <w:pPr>
        <w:ind w:left="425" w:hanging="425"/>
      </w:pPr>
      <w:rPr>
        <w:rFonts w:hint="default"/>
      </w:rPr>
    </w:lvl>
  </w:abstractNum>
  <w:abstractNum w:abstractNumId="2" w15:restartNumberingAfterBreak="0">
    <w:nsid w:val="FFD4A257"/>
    <w:multiLevelType w:val="singleLevel"/>
    <w:tmpl w:val="FFD4A257"/>
    <w:lvl w:ilvl="0">
      <w:start w:val="1"/>
      <w:numFmt w:val="decimal"/>
      <w:suff w:val="space"/>
      <w:lvlText w:val="%1."/>
      <w:lvlJc w:val="left"/>
    </w:lvl>
  </w:abstractNum>
  <w:abstractNum w:abstractNumId="3" w15:restartNumberingAfterBreak="0">
    <w:nsid w:val="1CF93719"/>
    <w:multiLevelType w:val="multilevel"/>
    <w:tmpl w:val="1CF93719"/>
    <w:lvl w:ilvl="0">
      <w:start w:val="1"/>
      <w:numFmt w:val="decimal"/>
      <w:pStyle w:val="a"/>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961811938">
    <w:abstractNumId w:val="0"/>
  </w:num>
  <w:num w:numId="2" w16cid:durableId="852262823">
    <w:abstractNumId w:val="1"/>
  </w:num>
  <w:num w:numId="3" w16cid:durableId="1938899778">
    <w:abstractNumId w:val="3"/>
  </w:num>
  <w:num w:numId="4" w16cid:durableId="1134368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BDF"/>
    <w:rsid w:val="F9FF9169"/>
    <w:rsid w:val="000A5D0E"/>
    <w:rsid w:val="001041C2"/>
    <w:rsid w:val="00475ED0"/>
    <w:rsid w:val="006E58C9"/>
    <w:rsid w:val="00734DD3"/>
    <w:rsid w:val="00764478"/>
    <w:rsid w:val="00870204"/>
    <w:rsid w:val="00A34D96"/>
    <w:rsid w:val="00B15D13"/>
    <w:rsid w:val="00B63BDF"/>
    <w:rsid w:val="00C537DC"/>
    <w:rsid w:val="00CC28CB"/>
    <w:rsid w:val="00EB7228"/>
    <w:rsid w:val="00EC47CE"/>
    <w:rsid w:val="00F7389A"/>
    <w:rsid w:val="5E2F1979"/>
    <w:rsid w:val="6DFE3515"/>
    <w:rsid w:val="75FFF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97AF20"/>
  <w15:docId w15:val="{3A84C75E-7B77-6443-9D47-D0B718F1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heme="minorHAnsi" w:eastAsia="Songti SC" w:hAnsiTheme="minorHAnsi" w:cstheme="minorBidi"/>
      <w:kern w:val="2"/>
      <w:sz w:val="21"/>
      <w:szCs w:val="24"/>
      <w14:ligatures w14:val="standardContextual"/>
    </w:rPr>
  </w:style>
  <w:style w:type="paragraph" w:styleId="1">
    <w:name w:val="heading 1"/>
    <w:basedOn w:val="a0"/>
    <w:next w:val="a0"/>
    <w:link w:val="10"/>
    <w:qFormat/>
    <w:pPr>
      <w:keepNext/>
      <w:keepLines/>
      <w:spacing w:before="340" w:after="330" w:line="578" w:lineRule="auto"/>
      <w:jc w:val="center"/>
      <w:outlineLvl w:val="0"/>
    </w:pPr>
    <w:rPr>
      <w:rFonts w:cs="Times New Roman (正文 CS 字体)"/>
      <w:b/>
      <w:bCs/>
      <w:kern w:val="44"/>
      <w:sz w:val="44"/>
      <w:szCs w:val="44"/>
    </w:rPr>
  </w:style>
  <w:style w:type="paragraph" w:styleId="2">
    <w:name w:val="heading 2"/>
    <w:basedOn w:val="a0"/>
    <w:next w:val="a0"/>
    <w:uiPriority w:val="9"/>
    <w:unhideWhenUsed/>
    <w:qFormat/>
    <w:pPr>
      <w:keepNext/>
      <w:keepLines/>
      <w:numPr>
        <w:numId w:val="1"/>
      </w:numPr>
      <w:spacing w:before="260" w:after="260"/>
      <w:ind w:firstLine="0"/>
      <w:jc w:val="center"/>
      <w:outlineLvl w:val="1"/>
    </w:pPr>
    <w:rPr>
      <w:rFonts w:ascii="Arial" w:hAnsi="Arial"/>
      <w:b/>
      <w:sz w:val="36"/>
    </w:rPr>
  </w:style>
  <w:style w:type="paragraph" w:styleId="3">
    <w:name w:val="heading 3"/>
    <w:basedOn w:val="a0"/>
    <w:next w:val="a0"/>
    <w:uiPriority w:val="9"/>
    <w:unhideWhenUsed/>
    <w:qFormat/>
    <w:pPr>
      <w:keepNext/>
      <w:keepLines/>
      <w:numPr>
        <w:numId w:val="2"/>
      </w:numPr>
      <w:spacing w:before="260" w:after="260"/>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nhideWhenUsed/>
    <w:pPr>
      <w:tabs>
        <w:tab w:val="center" w:pos="4153"/>
        <w:tab w:val="right" w:pos="8306"/>
      </w:tabs>
      <w:snapToGrid w:val="0"/>
      <w:jc w:val="left"/>
    </w:pPr>
    <w:rPr>
      <w:sz w:val="18"/>
    </w:rPr>
  </w:style>
  <w:style w:type="paragraph" w:styleId="a6">
    <w:name w:val="header"/>
    <w:basedOn w:val="a0"/>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
    <w:name w:val="Subtitle"/>
    <w:basedOn w:val="a0"/>
    <w:next w:val="a0"/>
    <w:link w:val="a7"/>
    <w:qFormat/>
    <w:pPr>
      <w:numPr>
        <w:numId w:val="3"/>
      </w:numPr>
      <w:spacing w:before="240" w:after="60"/>
      <w:ind w:left="865" w:hanging="440"/>
      <w:jc w:val="left"/>
      <w:outlineLvl w:val="1"/>
    </w:pPr>
    <w:rPr>
      <w:rFonts w:ascii="等线 Light" w:hAnsi="等线 Light" w:cs="Times New Roman"/>
      <w:bCs/>
      <w:kern w:val="28"/>
      <w:sz w:val="18"/>
      <w:szCs w:val="32"/>
    </w:rPr>
  </w:style>
  <w:style w:type="character" w:customStyle="1" w:styleId="10">
    <w:name w:val="标题 1 字符"/>
    <w:basedOn w:val="a1"/>
    <w:link w:val="1"/>
    <w:rPr>
      <w:rFonts w:eastAsia="Songti SC" w:cs="Times New Roman (正文 CS 字体)"/>
      <w:b/>
      <w:bCs/>
      <w:kern w:val="44"/>
      <w:sz w:val="44"/>
      <w:szCs w:val="44"/>
    </w:rPr>
  </w:style>
  <w:style w:type="character" w:customStyle="1" w:styleId="a7">
    <w:name w:val="副标题 字符"/>
    <w:link w:val="a"/>
    <w:rPr>
      <w:rFonts w:ascii="等线 Light" w:hAnsi="等线 Light" w:cs="Times New Roman"/>
      <w:bCs/>
      <w:kern w:val="28"/>
      <w:sz w:val="18"/>
      <w:szCs w:val="32"/>
    </w:rPr>
  </w:style>
  <w:style w:type="character" w:styleId="a8">
    <w:name w:val="page number"/>
    <w:basedOn w:val="a1"/>
    <w:rsid w:val="00B15D13"/>
  </w:style>
  <w:style w:type="character" w:customStyle="1" w:styleId="a5">
    <w:name w:val="页脚 字符"/>
    <w:basedOn w:val="a1"/>
    <w:link w:val="a4"/>
    <w:rsid w:val="00B15D13"/>
    <w:rPr>
      <w:rFonts w:asciiTheme="minorHAnsi" w:eastAsia="Songti SC" w:hAnsiTheme="minorHAnsi" w:cstheme="minorBidi"/>
      <w:kern w:val="2"/>
      <w:sz w:val="18"/>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浩楠 方</dc:creator>
  <cp:lastModifiedBy>浩楠 方</cp:lastModifiedBy>
  <cp:revision>3</cp:revision>
  <cp:lastPrinted>2023-11-30T05:49:00Z</cp:lastPrinted>
  <dcterms:created xsi:type="dcterms:W3CDTF">2023-11-30T05:49:00Z</dcterms:created>
  <dcterms:modified xsi:type="dcterms:W3CDTF">2023-11-30T05:49:00Z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CB74C8F3D103713C8A0021658CDCFCFB_42</vt:lpwstr>
  </property>
</Properties>
</file>