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楷体" w:hAnsi="楷体" w:eastAsia="楷体"/>
          <w:spacing w:val="100"/>
          <w:sz w:val="48"/>
          <w:u w:val="single"/>
        </w:rPr>
      </w:pPr>
      <w:r>
        <w:rPr>
          <w:rFonts w:hint="eastAsia" w:ascii="楷体" w:hAnsi="楷体" w:eastAsia="楷体"/>
          <w:spacing w:val="100"/>
          <w:sz w:val="48"/>
          <w:u w:val="single"/>
        </w:rPr>
        <w:t>苏州大学实验报告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6"/>
        <w:gridCol w:w="281"/>
        <w:gridCol w:w="1548"/>
        <w:gridCol w:w="296"/>
        <w:gridCol w:w="900"/>
        <w:gridCol w:w="540"/>
        <w:gridCol w:w="1041"/>
        <w:gridCol w:w="720"/>
        <w:gridCol w:w="1260"/>
        <w:gridCol w:w="720"/>
        <w:gridCol w:w="1440"/>
      </w:tblGrid>
      <w:tr>
        <w:trPr>
          <w:cantSplit/>
          <w:jc w:val="center"/>
        </w:trPr>
        <w:tc>
          <w:tcPr>
            <w:tcW w:w="896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院系</w:t>
            </w:r>
          </w:p>
        </w:tc>
        <w:tc>
          <w:tcPr>
            <w:tcW w:w="1829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计算机学院</w:t>
            </w:r>
          </w:p>
        </w:tc>
        <w:tc>
          <w:tcPr>
            <w:tcW w:w="1196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年级专业</w:t>
            </w:r>
          </w:p>
        </w:tc>
        <w:tc>
          <w:tcPr>
            <w:tcW w:w="1581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21计科</w:t>
            </w:r>
          </w:p>
        </w:tc>
        <w:tc>
          <w:tcPr>
            <w:tcW w:w="72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姓名</w:t>
            </w:r>
          </w:p>
        </w:tc>
        <w:tc>
          <w:tcPr>
            <w:tcW w:w="1260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方浩楠</w:t>
            </w:r>
          </w:p>
        </w:tc>
        <w:tc>
          <w:tcPr>
            <w:tcW w:w="72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>
            <w:pPr>
              <w:spacing w:line="0" w:lineRule="atLeast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2127405048</w:t>
            </w:r>
          </w:p>
        </w:tc>
      </w:tr>
      <w:tr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课程名称</w:t>
            </w:r>
          </w:p>
        </w:tc>
        <w:tc>
          <w:tcPr>
            <w:tcW w:w="6305" w:type="dxa"/>
            <w:gridSpan w:val="7"/>
            <w:vAlign w:val="center"/>
          </w:tcPr>
          <w:p>
            <w:pPr>
              <w:spacing w:line="0" w:lineRule="atLeast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操作系统课程实践</w:t>
            </w:r>
          </w:p>
        </w:tc>
        <w:tc>
          <w:tcPr>
            <w:tcW w:w="72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成绩</w:t>
            </w:r>
          </w:p>
        </w:tc>
        <w:tc>
          <w:tcPr>
            <w:tcW w:w="144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</w:p>
        </w:tc>
      </w:tr>
      <w:tr>
        <w:trPr>
          <w:cantSplit/>
          <w:jc w:val="center"/>
        </w:trPr>
        <w:tc>
          <w:tcPr>
            <w:tcW w:w="1177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指导教师</w:t>
            </w:r>
          </w:p>
        </w:tc>
        <w:tc>
          <w:tcPr>
            <w:tcW w:w="1844" w:type="dxa"/>
            <w:gridSpan w:val="2"/>
            <w:vAlign w:val="center"/>
          </w:tcPr>
          <w:p>
            <w:pPr>
              <w:spacing w:line="0" w:lineRule="atLeast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王红玲</w:t>
            </w:r>
          </w:p>
        </w:tc>
        <w:tc>
          <w:tcPr>
            <w:tcW w:w="144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同组实验者</w:t>
            </w:r>
          </w:p>
        </w:tc>
        <w:tc>
          <w:tcPr>
            <w:tcW w:w="1761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无</w:t>
            </w:r>
          </w:p>
        </w:tc>
        <w:tc>
          <w:tcPr>
            <w:tcW w:w="1260" w:type="dxa"/>
            <w:vAlign w:val="center"/>
          </w:tcPr>
          <w:p>
            <w:pPr>
              <w:spacing w:line="0" w:lineRule="atLeast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kern w:val="0"/>
                <w:sz w:val="24"/>
              </w:rPr>
              <w:t>实验日期</w:t>
            </w:r>
          </w:p>
        </w:tc>
        <w:tc>
          <w:tcPr>
            <w:tcW w:w="2160" w:type="dxa"/>
            <w:gridSpan w:val="2"/>
            <w:vAlign w:val="center"/>
          </w:tcPr>
          <w:p>
            <w:pPr>
              <w:spacing w:line="0" w:lineRule="atLeast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2024.4.10</w:t>
            </w:r>
          </w:p>
        </w:tc>
      </w:tr>
    </w:tbl>
    <w:p>
      <w:pPr>
        <w:spacing w:before="100" w:beforeAutospacing="1" w:after="100" w:afterAutospacing="1"/>
        <w:jc w:val="center"/>
        <w:rPr>
          <w:b/>
          <w:bCs/>
          <w:sz w:val="30"/>
        </w:rPr>
        <w:sectPr>
          <w:footerReference r:id="rId3" w:type="default"/>
          <w:footerReference r:id="rId4" w:type="even"/>
          <w:type w:val="continuous"/>
          <w:pgSz w:w="11906" w:h="16838"/>
          <w:pgMar w:top="1134" w:right="1304" w:bottom="1134" w:left="1304" w:header="851" w:footer="992" w:gutter="0"/>
          <w:cols w:space="720" w:num="1"/>
          <w:docGrid w:type="lines" w:linePitch="312" w:charSpace="0"/>
        </w:sectPr>
      </w:pPr>
    </w:p>
    <w:p>
      <w:pPr>
        <w:spacing w:line="0" w:lineRule="atLeast"/>
        <w:jc w:val="center"/>
        <w:rPr>
          <w:b/>
          <w:bCs/>
          <w:sz w:val="10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>
                <wp:simplePos x="0" y="0"/>
                <wp:positionH relativeFrom="column">
                  <wp:align>center</wp:align>
                </wp:positionH>
                <wp:positionV relativeFrom="page">
                  <wp:posOffset>2168525</wp:posOffset>
                </wp:positionV>
                <wp:extent cx="6131560" cy="7561580"/>
                <wp:effectExtent l="0" t="0" r="2540" b="0"/>
                <wp:wrapNone/>
                <wp:docPr id="985863497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31560" cy="7561580"/>
                        </a:xfrm>
                        <a:prstGeom prst="rect">
                          <a:avLst/>
                        </a:prstGeom>
                        <a:noFill/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9" o:spid="_x0000_s1026" o:spt="1" style="position:absolute;left:0pt;margin-top:170.75pt;height:595.4pt;width:482.8pt;mso-position-horizontal:center;mso-position-vertical-relative:page;z-index:-251657216;mso-width-relative:page;mso-height-relative:page;" filled="f" stroked="t" coordsize="21600,21600" o:gfxdata="UEsFBgAAAAAAAAAAAAAAAAAAAAAAAFBLAwQKAAAAAACHTuJAAAAAAAAAAAAAAAAABAAAAGRycy9Q&#10;SwMEFAAAAAgAh07iQFzrF4fXAAAACQEAAA8AAABkcnMvZG93bnJldi54bWxNj8FOwzAQRO9I/IO1&#10;SNyok4ZEEOJUBdFrJQoScHPjxY4ar6PYbcrfs5zgOJrRzJtmdfaDOOEU+0AK8kUGAqkLpier4O11&#10;c3MHIiZNRg+BUME3Rli1lxeNrk2Y6QVPu2QFl1CstQKX0lhLGTuHXsdFGJHY+wqT14nlZKWZ9Mzl&#10;fpDLLKuk1z3xgtMjPjnsDrujV/A8fm7XpY1y/Z7cxyE8zhu3tUpdX+XZA4iE5/QXhl98RoeWmfbh&#10;SCaKQQEfSQqK27wEwfZ9VVYg9pwri2UBsm3k/wftD1BLAwQUAAAACACHTuJAy1Tv/CICAAAqBAAA&#10;DgAAAGRycy9lMm9Eb2MueG1srVNLbtswEN0X6B0I7mtZjuWPYDkoYqQo0E+AtAegKUoiwF+HtGX3&#10;MgW66yFynKLX6JByXDfdZFEthBnN8HHem6fV9UErshfgpTUVzUdjSoThtpamrejnT7evFpT4wEzN&#10;lDWiokfh6fX65YtV70oxsZ1VtQCCIMaXvatoF4Irs8zzTmjmR9YJg8XGgmYBU2izGliP6Fplk/F4&#10;lvUWageWC+/x62Yo0hMiPAfQNo3kYmP5TgsTBlQQigWk5DvpPF2naZtG8PCxabwIRFUUmYb0xksw&#10;3sZ3tl6xsgXmOslPI7DnjPCEk2bS4KVnqA0LjOxA/gOlJQfrbRNG3OpsIJIUQRb5+Ik29x1zInFB&#10;qb07i+7/Hyz/sL8DIuuKLhfFYnY1Xc4pMUzj4n99+/Hz4TtZRo1650tsvXd3cMo8hmTbv7c1trJd&#10;sIn+oQEdZUBi5JBUPp5VFodAOH6c5Vd5McMFcKzNi1leLNIeMlY+HnfgwxthNYlBRQHXmODZ/p0P&#10;OAC2PrbE24y9lUqlVSpDeuRSTArE1w55edOms94qWce+eMJDu71RQPYs+iI9kSbi/tWmZUCvK6kr&#10;urhsUgZ7oyZRhUGdra2PqAjYwWL4g2HQWfhKSY/2wjm+7BgIStRbg/tb5tNp9GNKpsV8gglcVraX&#10;FWY4QlU0UDKEN2Hw8M6BbDu8KU8cjX2Nm2hk0ijON0x1GhYtlCie7B49epmnrj+/+Po3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FgAAAGRy&#10;cy9QSwECFAAUAAAACACHTuJAXOsXh9cAAAAJAQAADwAAAAAAAAABACAAAAA4AAAAZHJzL2Rvd25y&#10;ZXYueG1sUEsBAhQAFAAAAAgAh07iQMtU7/wiAgAAKgQAAA4AAAAAAAAAAQAgAAAAPAEAAGRycy9l&#10;Mm9Eb2MueG1sUEsFBgAAAAAGAAYAWQEAANAFAAAAAA==&#10;">
                <v:fill on="f" focussize="0,0"/>
                <v:stroke color="#000000" miterlimit="8" joinstyle="miter"/>
                <v:imagedata o:title=""/>
                <o:lock v:ext="edit" aspectratio="f"/>
                <w10:anchorlock/>
              </v:rect>
            </w:pict>
          </mc:Fallback>
        </mc:AlternateContent>
      </w: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6"/>
        <w:gridCol w:w="5929"/>
      </w:tblGrid>
      <w:tr>
        <w:trPr>
          <w:jc w:val="center"/>
        </w:trPr>
        <w:tc>
          <w:tcPr>
            <w:tcW w:w="1716" w:type="dxa"/>
            <w:vAlign w:val="bottom"/>
          </w:tcPr>
          <w:p>
            <w:pPr>
              <w:spacing w:before="156" w:beforeLines="50"/>
              <w:jc w:val="center"/>
              <w:rPr>
                <w:rFonts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实 验 名 称</w:t>
            </w:r>
          </w:p>
        </w:tc>
        <w:tc>
          <w:tcPr>
            <w:tcW w:w="5929" w:type="dxa"/>
            <w:tcBorders>
              <w:bottom w:val="single" w:color="auto" w:sz="4" w:space="0"/>
            </w:tcBorders>
            <w:vAlign w:val="bottom"/>
          </w:tcPr>
          <w:p>
            <w:pPr>
              <w:spacing w:before="156" w:beforeLines="50"/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</w:rPr>
              <w:t>实验</w:t>
            </w:r>
            <w:r>
              <w:rPr>
                <w:rFonts w:hint="eastAsia" w:ascii="楷体" w:hAnsi="楷体" w:eastAsia="楷体"/>
                <w:sz w:val="24"/>
                <w:lang w:val="en-US" w:eastAsia="zh-CN"/>
              </w:rPr>
              <w:t>6 内核模块实验</w:t>
            </w:r>
          </w:p>
        </w:tc>
      </w:tr>
    </w:tbl>
    <w:p/>
    <w:p>
      <w:pPr>
        <w:numPr>
          <w:ilvl w:val="0"/>
          <w:numId w:val="1"/>
        </w:numPr>
      </w:pPr>
      <w:r>
        <w:rPr>
          <w:rFonts w:hint="eastAsia"/>
        </w:rPr>
        <w:t>实验目的</w:t>
      </w:r>
    </w:p>
    <w:p/>
    <w:p>
      <w:pPr>
        <w:rPr>
          <w:rFonts w:hint="eastAsia"/>
        </w:rPr>
      </w:pPr>
      <w:r>
        <w:rPr>
          <w:rFonts w:hint="eastAsia"/>
        </w:rPr>
        <w:t>（1）掌握利用内核模块机制实现较复杂功能的办法。</w:t>
      </w:r>
    </w:p>
    <w:p>
      <w:r>
        <w:rPr>
          <w:rFonts w:hint="eastAsia"/>
        </w:rPr>
        <w:t>（2）学习并掌握/proc 文件系统的创建。</w:t>
      </w:r>
    </w:p>
    <w:p/>
    <w:p>
      <w:pPr>
        <w:numPr>
          <w:ilvl w:val="0"/>
          <w:numId w:val="1"/>
        </w:numPr>
      </w:pPr>
      <w:r>
        <w:rPr>
          <w:rFonts w:hint="eastAsia"/>
        </w:rPr>
        <w:t>实验内容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</w:rPr>
      </w:pPr>
      <w:r>
        <w:rPr>
          <w:rFonts w:hint="eastAsia"/>
        </w:rPr>
        <w:t>利用内核模块在/proc 模块下创建 proc_example 目录，并在该目录下创建三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</w:rPr>
      </w:pPr>
      <w:r>
        <w:rPr>
          <w:rFonts w:hint="eastAsia"/>
        </w:rPr>
        <w:t>个普通文件(foo, bar, jiffies)和一个链接文件(jiffies_too)。</w:t>
      </w:r>
    </w:p>
    <w:p/>
    <w:p>
      <w:pPr>
        <w:numPr>
          <w:ilvl w:val="0"/>
          <w:numId w:val="1"/>
        </w:numPr>
      </w:pPr>
      <w:r>
        <w:rPr>
          <w:rFonts w:hint="eastAsia"/>
        </w:rPr>
        <w:t>实验步骤和结果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</w:rPr>
      </w:pPr>
    </w:p>
    <w:p>
      <w:pPr>
        <w:widowControl w:val="0"/>
        <w:numPr>
          <w:ilvl w:val="0"/>
          <w:numId w:val="2"/>
        </w:numPr>
        <w:tabs>
          <w:tab w:val="left" w:pos="420"/>
          <w:tab w:val="clear" w:pos="312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使用内核模块创建一个文件节点: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源代码如下: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procfs_example.c: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&lt;linux/module.h&gt;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&lt;linux/kernel.h&gt;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&lt;linux/init.h&gt;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&lt;linux/proc_fs.h&gt;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&lt;linux/jiffies.h&gt;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&lt;linux/sched.h&gt;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&lt;linux/uaccess.h&gt;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&lt;linux/seq_file.h&gt;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#include &lt;linux/fs.h&gt;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MODULE_VERS "1.0"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MODULE_NAME "procfs_example"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#define FOOBAR_LEN 8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fb_data_t {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name[FOOBAR_LEN + 1];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value[FOOBAR_LEN + 1];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struct proc_dir_entry *example_dir, *foo_file, *bar_file, *jiffies_file, *symlink;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struct fb_data_t foo_data, bar_data;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foo_len, foo_temp, bar_len, bar_temp;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jiff_temp = -1;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char tempstr[FOOBAR_LEN * 2 + 5];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jiffies文件操作函数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ssize_t read_jiffies_proc(struct file *filp, char __user *buf, size_t count, loff_t *offp) {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tempstring[100] = "";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bytes;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(jiff_temp != 0)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jiff_temp = sprintf(tempstring, "jiffies=%ld\n", jiffies);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(count &gt; jiff_temp)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 = jiff_temp;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jiff_temp = jiff_temp - count;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bytes = copy_to_user(buf, tempstring, count) ? -EFAULT : count;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(bytes == 0)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jiff_temp = -1;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bytes;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proc_ops结构定义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const struct proc_ops jiffies_proc_ops = {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.proc_read = read_jiffies_proc,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foo文件操作函数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ssize_t read_foo_proc(struct file *filp, char __user *buf, size_t count, loff_t *offp) {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(count &gt; foo_temp)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 = foo_temp;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foo_temp = foo_temp - count;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strcpy(tempstr, foo_data.name);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strcat(tempstr, "='");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strcat(tempstr, foo_data.value);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strcat(tempstr, "'\n");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(copy_to_user(buf, tempstr, count))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-EFAULT;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(count == 0)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foo_temp = foo_len + 4;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count;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ssize_t write_foo_proc(struct file *filp, const char __user *buf, size_t count, loff_t *offp) {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len = count &gt; FOOBAR_LEN ? FOOBAR_LEN : count;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(copy_from_user(foo_data.value, buf, len))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-EFAULT;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foo_data.value[len-1] = '\0';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foo_len = strlen(foo_data.name) + strlen(foo_data.value);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foo_temp = foo_len + 4;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len;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const struct proc_ops foo_proc_ops = {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.proc_read = read_foo_proc,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.proc_write = write_foo_proc,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bar文件操作函数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ssize_t read_bar_proc(struct file *filp, char __user *buf, size_t count, loff_t *offp) {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(count &gt; bar_temp)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count = bar_temp;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bar_temp = bar_temp - count;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strcpy(tempstr, bar_data.name);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strcat(tempstr, "='");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strcat(tempstr, bar_data.value);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strcat(tempstr, "'\n");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(copy_to_user(buf, tempstr, count))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-EFAULT;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(count == 0)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bar_temp = bar_len + 4;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count;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ssize_t write_bar_proc(struct file *filp, const char __user *buf, size_t count, loff_t *offp) {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len = count &gt; FOOBAR_LEN ? FOOBAR_LEN : count;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(copy_from_user(bar_data.value, buf, len))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-EFAULT;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bar_data.value[len-1] = '\0';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bar_len = strlen(bar_data.name) + strlen(bar_data.value);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bar_temp = bar_len + 4;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len;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const struct proc_ops bar_proc_ops = {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.proc_read = read_bar_proc,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.proc_write = write_bar_proc,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模块init函数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int __init init_procfs_example(void) {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example_dir = proc_mkdir(MODULE_NAME, NULL);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(!example_dir)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return -ENOMEM;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jiffies_file = proc_create("jiffies", 0444, example_dir, &amp;jiffies_proc_ops);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(!jiffies_file)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goto out_jiffies;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strcpy(foo_data.name, "foo");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strcpy(foo_data.value, "foo");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foo_len = strlen(foo_data.name) + strlen(foo_data.value);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foo_temp = foo_len + 4;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foo_file = proc_create("foo", 0</w:t>
      </w:r>
      <w:r>
        <w:rPr>
          <w:rFonts w:hint="eastAsia"/>
          <w:lang w:val="en-US" w:eastAsia="zh-CN"/>
        </w:rPr>
        <w:t>444</w:t>
      </w:r>
      <w:r>
        <w:rPr>
          <w:rFonts w:hint="default"/>
          <w:lang w:val="en-US" w:eastAsia="zh-CN"/>
        </w:rPr>
        <w:t>, example_dir, &amp;foo_proc_ops);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(!foo_file)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goto out_foo;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strcpy(bar_data.name, "bar");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strcpy(bar_data.value, "bar");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bar_len = strlen(bar_data.name) + strlen(bar_data.value);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bar_temp = bar_len + 4;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bar_file = proc_create("bar", 0</w:t>
      </w:r>
      <w:r>
        <w:rPr>
          <w:rFonts w:hint="eastAsia"/>
          <w:lang w:val="en-US" w:eastAsia="zh-CN"/>
        </w:rPr>
        <w:t>444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example_dir, &amp;bar_proc_ops);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(!bar_file)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goto out_bar;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symlink = proc_symlink("jiffies_too", example_dir, "jiffies");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(!symlink)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goto out_symlink;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printk(KERN_INFO "%s%s initialised\n", MODULE_NAME, MODULE_VERS);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0;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out_symlink: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remove_proc_entry("bar", example_dir);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out_bar: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remove_proc_entry("foo", example_dir);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out_foo: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remove_proc_entry("jiffies", example_dir);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out_jiffies: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remove_proc_entry(MODULE_NAME, NULL);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-ENOMEM;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模块cleanup函数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static void __exit cleanup_procfs_example(void) {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remove_proc_entry("jiffies_too", example_dir);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remove_proc_entry("bar", example_dir);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remove_proc_entry("foo", example_dir);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remove_proc_entry("jiffies", example_dir);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remove_proc_entry(MODULE_NAME, NULL);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printk(KERN_INFO "%s%s removed\n", MODULE_NAME, MODULE_VERS);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MODULE_LICENSE("GPL");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module_init(init_procfs_example);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module_exit(cleanup_procfs_example);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MODULE_DESCRIPTION("proc filesystem example");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Makefile：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CONFIG_MODULE_SIG=n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obj-m := procfs_example.o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KDIR := /usr/src/linux-headers-$(shell uname -r 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PWD := $(shell pwd)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all: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make -C $(KDIR) M=$(PWD) modules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clean: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make -C $(KDIR) M=$(PWD) clean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编译代码:</w:t>
      </w:r>
    </w:p>
    <w:p>
      <w:pPr>
        <w:widowControl w:val="0"/>
        <w:numPr>
          <w:numId w:val="0"/>
        </w:numPr>
        <w:tabs>
          <w:tab w:val="left" w:pos="420"/>
        </w:tabs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68365" cy="1096645"/>
            <wp:effectExtent l="0" t="0" r="635" b="20955"/>
            <wp:docPr id="1" name="图片 1" descr="截屏2024-04-10 09.08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04-10 09.08.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装入内核模块: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5350" cy="721995"/>
            <wp:effectExtent l="0" t="0" r="19050" b="14605"/>
            <wp:docPr id="2" name="图片 2" descr="截屏2024-04-10 09.10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4-04-10 09.10.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971540" cy="991870"/>
            <wp:effectExtent l="0" t="0" r="22860" b="24130"/>
            <wp:docPr id="3" name="图片 3" descr="截屏2024-04-10 09.10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4-04-10 09.10.4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查看procfs_example目录及其中的各个文件的内容: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0905" cy="1225550"/>
            <wp:effectExtent l="0" t="0" r="23495" b="19050"/>
            <wp:docPr id="4" name="图片 4" descr="截屏2024-04-10 09.12.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截屏2024-04-10 09.12.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09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5350" cy="1557655"/>
            <wp:effectExtent l="0" t="0" r="19050" b="17145"/>
            <wp:docPr id="6" name="图片 6" descr="截屏2024-04-10 09.19.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4-04-10 09.19.4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535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可以看到bar、foo 和 jiffies 为只读文件，jiffies_too 为 jiffies 的链接文件（属性为可读可写）。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使用vim打开jiffies_too时,显示为只读文件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972810" cy="2571115"/>
            <wp:effectExtent l="0" t="0" r="21590" b="19685"/>
            <wp:docPr id="7" name="图片 7" descr="截屏2024-04-10 09.23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4-04-10 09.23.4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强制修改时会报错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</w:pPr>
      <w:r>
        <w:rPr>
          <w:rFonts w:hint="eastAsia"/>
        </w:rPr>
        <w:t>实验总结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为什么使用printk()而不是printf()</w:t>
      </w:r>
    </w:p>
    <w:p>
      <w:pPr>
        <w:rPr>
          <w:rFonts w:hint="eastAsia"/>
        </w:rPr>
      </w:pPr>
      <w:r>
        <w:rPr>
          <w:rFonts w:hint="eastAsia"/>
        </w:rPr>
        <w:t>环境不同：printf()函数是标准C库中的输出函数，主要用于用户空间的程序。内核运行在与用户空间不同的环境中，它不能直接调用大部分用户空间的库函数，包括printf()。相反，printk()是专为内核环境设计的输出函数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功能需求：与printf()相比，printk()提供了一些特定于内核的功能。例如，它允许通过日志级别（如KERN_INFO、KERN_WARNING等）来分类消息的重要性，这样系统管理员和开发人员可以根据需要过滤日志消息。</w:t>
      </w:r>
    </w:p>
    <w:p>
      <w:pPr>
        <w:rPr>
          <w:rFonts w:hint="eastAsia"/>
        </w:rPr>
      </w:pPr>
    </w:p>
    <w:p>
      <w:r>
        <w:rPr>
          <w:rFonts w:hint="eastAsia"/>
        </w:rPr>
        <w:t>输出目标：printf()默认将输出发送到标准输出（通常是终端或控制台），而printk()的输出目标是系统日志缓冲区，系统管理员可以通过dmesg命令或查看/var/log/目录下的日志文件来访问这些消息。这意味着printk()输出的信息可以在系统启动早期就可用，即使在还没有初始化终端设备的时候。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2.思考bar、foo、jiffies 和jiffies_too 文件分别是什么类型，它们是否可以进行读写。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iffies文件：这是一个只读文件，提供了自系统启动以来的滴答数。它由内核动态生成的数据驱动，用户空间的应用程序可以读取它来获取系统的运行时间。由于这个文件提供的是内核维护的值，它自然是只读的，不允许写入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jiffies_too文件：这是一个符号链接，指向了jiffies文件。作为一个符号链接，它本身不存储数据，因此“读写”这个概念不适用于它。通过这个链接读取数据实际上是读取jiffies文件的内容，所以它也是只读的。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bar和foo文件：这两个文件的属性取决于它们被创建时指定的权限和操作。在你的示例代码中，它们最初被创建为</w:t>
      </w:r>
      <w:r>
        <w:rPr>
          <w:rFonts w:hint="eastAsia"/>
          <w:lang w:val="en-US" w:eastAsia="zh-CN"/>
        </w:rPr>
        <w:t>只读的,这是因为代码中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foo_file = proc_create("foo", 0444, example_dir, &amp;foo_proc_ops);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bar_file = proc_create("bar", 0444, example_dir, &amp;bar_proc_ops);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这两行保证了这两个文件只读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由于</w:t>
      </w:r>
      <w:bookmarkStart w:id="0" w:name="_GoBack"/>
      <w:bookmarkEnd w:id="0"/>
      <w:r>
        <w:rPr>
          <w:rFonts w:hint="default"/>
          <w:lang w:val="en-US" w:eastAsia="zh-CN"/>
        </w:rPr>
        <w:t>文件权限被设置为只读（0444），那么无论写操作函数如何定义，文件都只能被读取。</w:t>
      </w:r>
    </w:p>
    <w:sectPr>
      <w:type w:val="continuous"/>
      <w:pgSz w:w="11906" w:h="16838"/>
      <w:pgMar w:top="1134" w:right="1247" w:bottom="1134" w:left="1247" w:header="851" w:footer="851" w:gutter="0"/>
      <w:pgBorders>
        <w:top w:val="single" w:color="auto" w:sz="4" w:space="1"/>
        <w:left w:val="single" w:color="auto" w:sz="4" w:space="5"/>
        <w:bottom w:val="single" w:color="auto" w:sz="4" w:space="1"/>
        <w:right w:val="single" w:color="auto" w:sz="4" w:space="5"/>
      </w:pgBorders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楷体_GB2312">
    <w:altName w:val="汉仪楷体简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annotate SC Regular">
    <w:panose1 w:val="03000500000000000000"/>
    <w:charset w:val="86"/>
    <w:family w:val="auto"/>
    <w:pitch w:val="default"/>
    <w:sig w:usb0="A00002FF" w:usb1="7ACF7CFB" w:usb2="00000016" w:usb3="00000000" w:csb0="00040001" w:csb1="00000000"/>
  </w:font>
  <w:font w:name="Baskerville Regular">
    <w:panose1 w:val="02020502070401020303"/>
    <w:charset w:val="00"/>
    <w:family w:val="auto"/>
    <w:pitch w:val="default"/>
    <w:sig w:usb0="80000067" w:usb1="02000000" w:usb2="00000000" w:usb3="00000000" w:csb0="2000019F" w:csb1="00000000"/>
  </w:font>
  <w:font w:name="BM Kirang Haerang">
    <w:panose1 w:val="020B0600000101010101"/>
    <w:charset w:val="81"/>
    <w:family w:val="auto"/>
    <w:pitch w:val="default"/>
    <w:sig w:usb0="800002A7" w:usb1="29D7FCFB" w:usb2="00000010" w:usb3="00000000" w:csb0="00280005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Fahkwang Regular">
    <w:panose1 w:val="00000500000000000000"/>
    <w:charset w:val="00"/>
    <w:family w:val="auto"/>
    <w:pitch w:val="default"/>
    <w:sig w:usb0="21000007" w:usb1="00000001" w:usb2="00000000" w:usb3="00000000" w:csb0="20010193" w:csb1="00000000"/>
  </w:font>
  <w:font w:name="GB18030 Bitmap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雅痞-繁">
    <w:panose1 w:val="020F0603040207020204"/>
    <w:charset w:val="86"/>
    <w:family w:val="auto"/>
    <w:pitch w:val="default"/>
    <w:sig w:usb0="A00002FF" w:usb1="7ACFFCFB" w:usb2="0000001E" w:usb3="00000000" w:csb0="20140197" w:csb1="00000000"/>
  </w:font>
  <w:font w:name="Cochin Regular">
    <w:panose1 w:val="02000603020000020003"/>
    <w:charset w:val="00"/>
    <w:family w:val="auto"/>
    <w:pitch w:val="default"/>
    <w:sig w:usb0="800002FF" w:usb1="4000004A" w:usb2="00000000" w:usb3="00000000" w:csb0="00000007" w:csb1="00000000"/>
  </w:font>
  <w:font w:name="Palatino Regular">
    <w:panose1 w:val="00000000000000000000"/>
    <w:charset w:val="00"/>
    <w:family w:val="auto"/>
    <w:pitch w:val="default"/>
    <w:sig w:usb0="A00002FF" w:usb1="7800205A" w:usb2="14600000" w:usb3="00000000" w:csb0="20000193" w:csb1="4D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汉仪粗仿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Heiti T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Adelle Sans Devanagari Regular">
    <w:panose1 w:val="02000503000000020004"/>
    <w:charset w:val="00"/>
    <w:family w:val="auto"/>
    <w:pitch w:val="default"/>
    <w:sig w:usb0="0300A007" w:usb1="00000001" w:usb2="00000008" w:usb3="00000000" w:csb0="200100D3" w:csb1="00000000"/>
  </w:font>
  <w:font w:name="Avenir Book">
    <w:panose1 w:val="02000503020000020003"/>
    <w:charset w:val="00"/>
    <w:family w:val="auto"/>
    <w:pitch w:val="default"/>
    <w:sig w:usb0="800000AF" w:usb1="5000204A" w:usb2="00000000" w:usb3="00000000" w:csb0="0000009B" w:csb1="00000000"/>
  </w:font>
  <w:font w:name="BIZ UDGothic Regular">
    <w:panose1 w:val="020B0400000000000000"/>
    <w:charset w:val="80"/>
    <w:family w:val="auto"/>
    <w:pitch w:val="default"/>
    <w:sig w:usb0="E00002F7" w:usb1="2AC7EDF8" w:usb2="00000012" w:usb3="00000000" w:csb0="20020009" w:csb1="00000000"/>
  </w:font>
  <w:font w:name="Devanagari MT Regular">
    <w:panose1 w:val="02000500020000000000"/>
    <w:charset w:val="00"/>
    <w:family w:val="auto"/>
    <w:pitch w:val="default"/>
    <w:sig w:usb0="80008003" w:usb1="1000C0C0" w:usb2="00000000" w:usb3="00000000" w:csb0="00000001" w:csb1="00000000"/>
  </w:font>
  <w:font w:name="Copperplate Regular">
    <w:panose1 w:val="02000504000000020004"/>
    <w:charset w:val="00"/>
    <w:family w:val="auto"/>
    <w:pitch w:val="default"/>
    <w:sig w:usb0="80000067" w:usb1="00000000" w:usb2="00000000" w:usb3="00000000" w:csb0="20000111" w:csb1="40000000"/>
  </w:font>
  <w:font w:name="汉仪仿宋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mic Sans MS Regular">
    <w:panose1 w:val="030F0902030302020204"/>
    <w:charset w:val="00"/>
    <w:family w:val="auto"/>
    <w:pitch w:val="default"/>
    <w:sig w:usb0="00000287" w:usb1="00000000" w:usb2="00000000" w:usb3="00000000" w:csb0="2000009F" w:csb1="00000000"/>
  </w:font>
  <w:font w:name="Courier New Regular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Hiragino Kaku Gothic Pro W3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InaiMathi Regular">
    <w:panose1 w:val="00000500000000000000"/>
    <w:charset w:val="00"/>
    <w:family w:val="auto"/>
    <w:pitch w:val="default"/>
    <w:sig w:usb0="00100001" w:usb1="00000000" w:usb2="00000000" w:usb3="00000000" w:csb0="00000001" w:csb1="00000000"/>
  </w:font>
  <w:font w:name="Jaini Purva">
    <w:panose1 w:val="00000000000000000000"/>
    <w:charset w:val="00"/>
    <w:family w:val="auto"/>
    <w:pitch w:val="default"/>
    <w:sig w:usb0="80008003" w:usb1="0000204A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2"/>
      </w:rPr>
    </w:pPr>
  </w:p>
  <w:p>
    <w:pPr>
      <w:pStyle w:val="4"/>
      <w:framePr w:wrap="around" w:vAnchor="text" w:hAnchor="margin" w:xAlign="center" w:y="1"/>
      <w:jc w:val="center"/>
      <w:rPr>
        <w:rStyle w:val="12"/>
      </w:rPr>
    </w:pPr>
    <w:r>
      <w:rPr>
        <w:rStyle w:val="12"/>
        <w:rFonts w:hint="eastAsia"/>
      </w:rPr>
      <w:t>第</w:t>
    </w:r>
    <w:r>
      <w:fldChar w:fldCharType="begin"/>
    </w:r>
    <w:r>
      <w:rPr>
        <w:rStyle w:val="12"/>
      </w:rPr>
      <w:instrText xml:space="preserve">PAGE  </w:instrText>
    </w:r>
    <w:r>
      <w:fldChar w:fldCharType="separate"/>
    </w:r>
    <w:r>
      <w:rPr>
        <w:rStyle w:val="12"/>
      </w:rPr>
      <w:t>3</w:t>
    </w:r>
    <w:r>
      <w:fldChar w:fldCharType="end"/>
    </w:r>
    <w:r>
      <w:rPr>
        <w:rStyle w:val="12"/>
        <w:rFonts w:hint="eastAsia"/>
      </w:rPr>
      <w:t>页，共</w:t>
    </w:r>
    <w:r>
      <w:fldChar w:fldCharType="begin"/>
    </w:r>
    <w:r>
      <w:rPr>
        <w:rStyle w:val="12"/>
      </w:rPr>
      <w:instrText xml:space="preserve"> NUMPAGES </w:instrText>
    </w:r>
    <w:r>
      <w:fldChar w:fldCharType="separate"/>
    </w:r>
    <w:r>
      <w:rPr>
        <w:rStyle w:val="12"/>
      </w:rPr>
      <w:t>3</w:t>
    </w:r>
    <w:r>
      <w:fldChar w:fldCharType="end"/>
    </w:r>
    <w:r>
      <w:rPr>
        <w:rStyle w:val="12"/>
        <w:rFonts w:hint="eastAsia"/>
      </w:rPr>
      <w:t>页</w:t>
    </w:r>
  </w:p>
  <w:p>
    <w:pPr>
      <w:pStyle w:val="4"/>
      <w:spacing w:before="240" w:beforeLines="100"/>
      <w:jc w:val="right"/>
      <w:rPr>
        <w:rFonts w:eastAsia="楷体_GB2312"/>
        <w:sz w:val="24"/>
      </w:rPr>
    </w:pPr>
    <w:r>
      <w:rPr>
        <w:rFonts w:hint="eastAsia" w:eastAsia="楷体_GB2312"/>
        <w:sz w:val="24"/>
      </w:rPr>
      <w:t>教务处制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2"/>
      </w:rPr>
    </w:pPr>
    <w:r>
      <w:fldChar w:fldCharType="begin"/>
    </w:r>
    <w:r>
      <w:rPr>
        <w:rStyle w:val="12"/>
      </w:rPr>
      <w:instrText xml:space="preserve">PAGE  </w:instrText>
    </w:r>
    <w:r>
      <w:fldChar w:fldCharType="end"/>
    </w:r>
  </w:p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768836"/>
    <w:multiLevelType w:val="singleLevel"/>
    <w:tmpl w:val="4F76883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02E6654"/>
    <w:multiLevelType w:val="multilevel"/>
    <w:tmpl w:val="702E6654"/>
    <w:lvl w:ilvl="0" w:tentative="0">
      <w:start w:val="1"/>
      <w:numFmt w:val="chineseCountingThousand"/>
      <w:lvlText w:val="%1.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decimal"/>
      <w:lvlText w:val="%2."/>
      <w:lvlJc w:val="righ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Letter"/>
      <w:lvlText w:val="%3."/>
      <w:lvlJc w:val="lef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B6"/>
    <w:rsid w:val="0001538C"/>
    <w:rsid w:val="000301AD"/>
    <w:rsid w:val="000A69B2"/>
    <w:rsid w:val="00116A8F"/>
    <w:rsid w:val="001F1393"/>
    <w:rsid w:val="002C6673"/>
    <w:rsid w:val="00330116"/>
    <w:rsid w:val="0033110E"/>
    <w:rsid w:val="00372E48"/>
    <w:rsid w:val="003D097E"/>
    <w:rsid w:val="0043519E"/>
    <w:rsid w:val="004732B6"/>
    <w:rsid w:val="005827C2"/>
    <w:rsid w:val="005C08BE"/>
    <w:rsid w:val="005C7D8D"/>
    <w:rsid w:val="00627C65"/>
    <w:rsid w:val="0066067D"/>
    <w:rsid w:val="00697CB7"/>
    <w:rsid w:val="006E7F77"/>
    <w:rsid w:val="00752CFD"/>
    <w:rsid w:val="00833D10"/>
    <w:rsid w:val="00923405"/>
    <w:rsid w:val="009279CD"/>
    <w:rsid w:val="00933A39"/>
    <w:rsid w:val="0097484E"/>
    <w:rsid w:val="00983D8A"/>
    <w:rsid w:val="009F34A8"/>
    <w:rsid w:val="00B11B23"/>
    <w:rsid w:val="00B43057"/>
    <w:rsid w:val="00B6666B"/>
    <w:rsid w:val="00B66BF8"/>
    <w:rsid w:val="00BA59B6"/>
    <w:rsid w:val="00C563F6"/>
    <w:rsid w:val="00C6675D"/>
    <w:rsid w:val="00CC33FE"/>
    <w:rsid w:val="00DE5EE2"/>
    <w:rsid w:val="00DF5BAC"/>
    <w:rsid w:val="00E136A6"/>
    <w:rsid w:val="00F73627"/>
    <w:rsid w:val="00F7555A"/>
    <w:rsid w:val="0DF902C2"/>
    <w:rsid w:val="2910111B"/>
    <w:rsid w:val="2F5564F5"/>
    <w:rsid w:val="3D37530C"/>
    <w:rsid w:val="3EFD5B26"/>
    <w:rsid w:val="54636A00"/>
    <w:rsid w:val="55963ECC"/>
    <w:rsid w:val="797DFDAD"/>
    <w:rsid w:val="7F76CFE3"/>
    <w:rsid w:val="B1BFC940"/>
    <w:rsid w:val="BF7E91E2"/>
    <w:rsid w:val="EF9B0779"/>
    <w:rsid w:val="F5FEA320"/>
    <w:rsid w:val="FE3C8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8"/>
    <w:uiPriority w:val="0"/>
    <w:pPr>
      <w:jc w:val="left"/>
    </w:pPr>
  </w:style>
  <w:style w:type="paragraph" w:styleId="3">
    <w:name w:val="Balloon Text"/>
    <w:basedOn w:val="1"/>
    <w:link w:val="17"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footnote text"/>
    <w:basedOn w:val="1"/>
    <w:link w:val="15"/>
    <w:uiPriority w:val="0"/>
    <w:pPr>
      <w:snapToGrid w:val="0"/>
      <w:jc w:val="left"/>
    </w:pPr>
    <w:rPr>
      <w:sz w:val="18"/>
      <w:szCs w:val="18"/>
    </w:rPr>
  </w:style>
  <w:style w:type="paragraph" w:styleId="7">
    <w:name w:val="Normal (Web)"/>
    <w:basedOn w:val="1"/>
    <w:uiPriority w:val="0"/>
    <w:pPr>
      <w:widowControl/>
      <w:spacing w:before="100" w:beforeAutospacing="1" w:after="100" w:afterAutospacing="1" w:line="300" w:lineRule="atLeast"/>
      <w:jc w:val="left"/>
    </w:pPr>
    <w:rPr>
      <w:rFonts w:ascii="Arial Unicode MS" w:hAnsi="Arial Unicode MS" w:eastAsia="Arial Unicode MS" w:cs="Arial Unicode MS"/>
      <w:kern w:val="0"/>
      <w:sz w:val="24"/>
    </w:rPr>
  </w:style>
  <w:style w:type="paragraph" w:styleId="8">
    <w:name w:val="annotation subject"/>
    <w:basedOn w:val="2"/>
    <w:next w:val="2"/>
    <w:link w:val="16"/>
    <w:uiPriority w:val="0"/>
    <w:rPr>
      <w:b/>
      <w:bCs/>
    </w:rPr>
  </w:style>
  <w:style w:type="character" w:styleId="11">
    <w:name w:val="Strong"/>
    <w:qFormat/>
    <w:uiPriority w:val="0"/>
    <w:rPr>
      <w:b/>
      <w:bCs/>
    </w:rPr>
  </w:style>
  <w:style w:type="character" w:styleId="12">
    <w:name w:val="page number"/>
    <w:basedOn w:val="10"/>
    <w:uiPriority w:val="0"/>
  </w:style>
  <w:style w:type="character" w:styleId="13">
    <w:name w:val="annotation reference"/>
    <w:uiPriority w:val="0"/>
    <w:rPr>
      <w:sz w:val="21"/>
      <w:szCs w:val="21"/>
    </w:rPr>
  </w:style>
  <w:style w:type="character" w:styleId="14">
    <w:name w:val="footnote reference"/>
    <w:uiPriority w:val="0"/>
    <w:rPr>
      <w:vertAlign w:val="superscript"/>
    </w:rPr>
  </w:style>
  <w:style w:type="character" w:customStyle="1" w:styleId="15">
    <w:name w:val="脚注文本 字符"/>
    <w:link w:val="6"/>
    <w:uiPriority w:val="0"/>
    <w:rPr>
      <w:kern w:val="2"/>
      <w:sz w:val="18"/>
      <w:szCs w:val="18"/>
    </w:rPr>
  </w:style>
  <w:style w:type="character" w:customStyle="1" w:styleId="16">
    <w:name w:val="批注主题 字符"/>
    <w:link w:val="8"/>
    <w:uiPriority w:val="0"/>
    <w:rPr>
      <w:b/>
      <w:bCs/>
      <w:kern w:val="2"/>
      <w:sz w:val="21"/>
      <w:szCs w:val="24"/>
    </w:rPr>
  </w:style>
  <w:style w:type="character" w:customStyle="1" w:styleId="17">
    <w:name w:val="批注框文本 字符"/>
    <w:link w:val="3"/>
    <w:uiPriority w:val="0"/>
    <w:rPr>
      <w:kern w:val="2"/>
      <w:sz w:val="18"/>
      <w:szCs w:val="18"/>
    </w:rPr>
  </w:style>
  <w:style w:type="character" w:customStyle="1" w:styleId="18">
    <w:name w:val="批注文字 字符"/>
    <w:link w:val="2"/>
    <w:uiPriority w:val="0"/>
    <w:rPr>
      <w:kern w:val="2"/>
      <w:sz w:val="21"/>
      <w:szCs w:val="24"/>
    </w:rPr>
  </w:style>
  <w:style w:type="paragraph" w:customStyle="1" w:styleId="19">
    <w:name w:val="列出段落"/>
    <w:basedOn w:val="1"/>
    <w:qFormat/>
    <w:uiPriority w:val="34"/>
    <w:pPr>
      <w:ind w:firstLine="420" w:firstLineChars="200"/>
    </w:pPr>
  </w:style>
  <w:style w:type="paragraph" w:customStyle="1" w:styleId="20">
    <w:name w:val="main"/>
    <w:basedOn w:val="1"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Soochow University</Company>
  <Pages>1</Pages>
  <Words>16</Words>
  <Characters>94</Characters>
  <Lines>1</Lines>
  <Paragraphs>1</Paragraphs>
  <TotalTime>34</TotalTime>
  <ScaleCrop>false</ScaleCrop>
  <LinksUpToDate>false</LinksUpToDate>
  <CharactersWithSpaces>109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2023-11-16T22:51:00Z</dcterms:created>
  <dc:creator>cx</dc:creator>
  <cp:lastModifiedBy>FSF</cp:lastModifiedBy>
  <cp:lastPrinted>2023-11-16T22:51:00Z</cp:lastPrinted>
  <dcterms:modified xsi:type="dcterms:W3CDTF">2024-04-10T09:34:46Z</dcterms:modified>
  <dc:title>实验一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8EF6DD949AC65DB035E615665B5D4976_42</vt:lpwstr>
  </property>
</Properties>
</file>