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51.jpg" ContentType="image/jpeg"/>
  <Override PartName="/word/media/rId55.jpg" ContentType="image/jpeg"/>
  <Override PartName="/word/media/rId60.jpg" ContentType="image/jpeg"/>
  <Override PartName="/word/media/rId64.jpg" ContentType="image/jpeg"/>
  <Override PartName="/word/media/rId69.jpg" ContentType="image/jpeg"/>
  <Override PartName="/word/media/rId21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9.jpg" ContentType="image/jpeg"/>
  <Override PartName="/word/media/rId85.jpg" ContentType="image/jpeg"/>
  <Override PartName="/word/media/rId96.jpg" ContentType="image/jpeg"/>
  <Override PartName="/word/media/rId104.jpg" ContentType="image/jpeg"/>
  <Override PartName="/word/media/rId100.jpg" ContentType="image/jpeg"/>
  <Override PartName="/word/media/rId108.jpg" ContentType="image/jpeg"/>
  <Override PartName="/word/media/rId29.jpg" ContentType="image/jpeg"/>
  <Override PartName="/word/media/rId116.jpg" ContentType="image/jpeg"/>
  <Override PartName="/word/media/rId120.jpg" ContentType="image/jpeg"/>
  <Override PartName="/word/media/rId124.jpg" ContentType="image/jpeg"/>
  <Override PartName="/word/media/rId132.jpg" ContentType="image/jpeg"/>
  <Override PartName="/word/media/rId128.jpg" ContentType="image/jpeg"/>
  <Override PartName="/word/media/rId112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Жаворонков Кирилл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методов кодирования и модуляции сигналов с помощью высокоуровнего языка программирования Octave. Определение спектра и параметров</w:t>
      </w:r>
      <w:r>
        <w:t xml:space="preserve"> </w:t>
      </w:r>
      <w:r>
        <w:t xml:space="preserve">сигнала. Демонстрация принципов модуляции сигнала на примере аналоговой</w:t>
      </w:r>
      <w:r>
        <w:t xml:space="preserve"> </w:t>
      </w:r>
      <w:r>
        <w:t xml:space="preserve">амплитудной модуляции. Исследование свойства самосинхронизации сигнала.</w:t>
      </w:r>
    </w:p>
    <w:bookmarkEnd w:id="20"/>
    <w:bookmarkStart w:id="1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построение-графиков-в-octave"/>
    <w:p>
      <w:pPr>
        <w:pStyle w:val="Heading2"/>
      </w:pPr>
      <w:r>
        <w:t xml:space="preserve">2.1 Построение графиков в Octave</w:t>
      </w:r>
    </w:p>
    <w:p>
      <w:pPr>
        <w:pStyle w:val="FirstParagraph"/>
      </w:pPr>
      <w:r>
        <w:t xml:space="preserve">Запустим Octave с оконным интерфейсом. Перейдем в окно редактора. Воспользовавшись меню или комбинацией клавиш ctrl + n создадим новый сценарий. Сохраним его в рабочий каталог с именем, plot</w:t>
      </w:r>
      <w:r>
        <w:rPr>
          <w:i/>
          <w:iCs/>
        </w:rPr>
        <w:t xml:space="preserve">sin.m. В окне редактора повторим листинг по построению графика</w:t>
      </w:r>
      <w:r>
        <w:rPr>
          <w:i/>
          <w:iCs/>
        </w:rPr>
        <w:t xml:space="preserve"> </w:t>
      </w:r>
      <w:r>
        <w:rPr>
          <w:i/>
          <w:iCs/>
        </w:rPr>
        <w:t xml:space="preserve">функции y = sin(x) + 1/3</w:t>
      </w:r>
      <w:r>
        <w:rPr>
          <w:i/>
          <w:iCs/>
        </w:rPr>
        <w:t xml:space="preserve"> </w:t>
      </w:r>
      <w:r>
        <w:t xml:space="preserve"> </w:t>
      </w:r>
      <w:r>
        <w:t xml:space="preserve">sin(3x) + 1/5 _ sin(5x) на интервале [−10; 10]: (рис. 1).</w:t>
      </w:r>
    </w:p>
    <w:bookmarkStart w:id="24" w:name="fig:001"/>
    <w:p>
      <w:pPr>
        <w:pStyle w:val="CaptionedFigure"/>
      </w:pPr>
      <w:r>
        <w:drawing>
          <wp:inline>
            <wp:extent cx="3733800" cy="2551514"/>
            <wp:effectExtent b="0" l="0" r="0" t="0"/>
            <wp:docPr descr="Программа plot_sin.m" title="" id="22" name="Picture"/>
            <a:graphic>
              <a:graphicData uri="http://schemas.openxmlformats.org/drawingml/2006/picture">
                <pic:pic>
                  <pic:nvPicPr>
                    <pic:cNvPr descr="image/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plot_sin.m</w:t>
      </w:r>
    </w:p>
    <w:bookmarkEnd w:id="24"/>
    <w:p>
      <w:pPr>
        <w:pStyle w:val="BodyText"/>
      </w:pPr>
      <w:r>
        <w:t xml:space="preserve">Запустим сценарий на выполнение. В качестве результата выполнения кода открылось окно с построенным графиком (рис. 2) и в рабочем</w:t>
      </w:r>
      <w:r>
        <w:t xml:space="preserve"> </w:t>
      </w:r>
      <w:r>
        <w:t xml:space="preserve">каталоге появились файлы с графиками в форматах .eps, .jpg. (рис. 3).</w:t>
      </w:r>
    </w:p>
    <w:bookmarkStart w:id="28" w:name="fig:002"/>
    <w:p>
      <w:pPr>
        <w:pStyle w:val="CaptionedFigure"/>
      </w:pPr>
      <w:r>
        <w:drawing>
          <wp:inline>
            <wp:extent cx="3733800" cy="3222185"/>
            <wp:effectExtent b="0" l="0" r="0" t="0"/>
            <wp:docPr descr="Построенный график" title="" id="26" name="Picture"/>
            <a:graphic>
              <a:graphicData uri="http://schemas.openxmlformats.org/drawingml/2006/picture">
                <pic:pic>
                  <pic:nvPicPr>
                    <pic:cNvPr descr="image/1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Построенный график</w:t>
      </w:r>
    </w:p>
    <w:bookmarkEnd w:id="28"/>
    <w:p>
      <w:pPr>
        <w:pStyle w:val="BodyText"/>
      </w:pPr>
      <w:r>
        <w:t xml:space="preserve">Сохраним сценарий под другим названием и изменим его так, чтобы на одном графике располагались отличающиеся по типу линий графики функций</w:t>
      </w:r>
      <w:r>
        <w:t xml:space="preserve"> </w:t>
      </w:r>
      <w:r>
        <w:t xml:space="preserve">y1 = sin(x) + 1/3 _ sin(3x) + 1/5 _ sin(5x), y2 = cos(x) + 1/3 _ cos(3x) + 1/5 _ cos(5x) (рис. 4)</w:t>
      </w:r>
    </w:p>
    <w:bookmarkStart w:id="32" w:name="fig:004"/>
    <w:p>
      <w:pPr>
        <w:pStyle w:val="CaptionedFigure"/>
      </w:pPr>
      <w:r>
        <w:drawing>
          <wp:inline>
            <wp:extent cx="3733800" cy="2710499"/>
            <wp:effectExtent b="0" l="0" r="0" t="0"/>
            <wp:docPr descr="График с cos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 cos</w:t>
      </w:r>
    </w:p>
    <w:bookmarkEnd w:id="32"/>
    <w:bookmarkEnd w:id="33"/>
    <w:bookmarkStart w:id="46" w:name="X07bef417cb4f245ff47fa8bd6db1057000948c0"/>
    <w:p>
      <w:pPr>
        <w:pStyle w:val="Heading2"/>
      </w:pPr>
      <w:r>
        <w:t xml:space="preserve">2.2 Разложение импульсного сигнала в частичный ряд Фурье</w:t>
      </w:r>
    </w:p>
    <w:p>
      <w:pPr>
        <w:pStyle w:val="FirstParagraph"/>
      </w:pPr>
      <w:r>
        <w:t xml:space="preserve">Создадим новый сценарий и сохраним его в рабочий каталог с именем meandr.m. В коде повторим листинг по построению графиков меандра. (рис. 5)</w:t>
      </w:r>
    </w:p>
    <w:bookmarkStart w:id="37" w:name="fig:005"/>
    <w:p>
      <w:pPr>
        <w:pStyle w:val="CaptionedFigure"/>
      </w:pPr>
      <w:r>
        <w:drawing>
          <wp:inline>
            <wp:extent cx="3733800" cy="3051222"/>
            <wp:effectExtent b="0" l="0" r="0" t="0"/>
            <wp:docPr descr="Код meandr.m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1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meandr.m</w:t>
      </w:r>
    </w:p>
    <w:bookmarkEnd w:id="37"/>
    <w:p>
      <w:pPr>
        <w:pStyle w:val="BodyText"/>
      </w:pPr>
      <w:r>
        <w:t xml:space="preserve">Экспортируем полученный график в файл в формате .jpg. (рис. 6)</w:t>
      </w:r>
    </w:p>
    <w:bookmarkStart w:id="41" w:name="fig:006"/>
    <w:p>
      <w:pPr>
        <w:pStyle w:val="CaptionedFigure"/>
      </w:pPr>
      <w:r>
        <w:drawing>
          <wp:inline>
            <wp:extent cx="3733800" cy="3183442"/>
            <wp:effectExtent b="0" l="0" r="0" t="0"/>
            <wp:docPr descr="Файл jpg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jpg</w:t>
      </w:r>
    </w:p>
    <w:bookmarkEnd w:id="41"/>
    <w:p>
      <w:pPr>
        <w:pStyle w:val="BodyText"/>
      </w:pPr>
      <w:r>
        <w:t xml:space="preserve">Скорректируем код для реализации меандра через синусы. Получим соответствующие графики. (рис. 7)</w:t>
      </w:r>
    </w:p>
    <w:bookmarkStart w:id="45" w:name="fig:007"/>
    <w:p>
      <w:pPr>
        <w:pStyle w:val="CaptionedFigure"/>
      </w:pPr>
      <w:r>
        <w:drawing>
          <wp:inline>
            <wp:extent cx="3733800" cy="3041978"/>
            <wp:effectExtent b="0" l="0" r="0" t="0"/>
            <wp:docPr descr="Меандр через синусы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Меандр через синусы</w:t>
      </w:r>
    </w:p>
    <w:bookmarkEnd w:id="45"/>
    <w:bookmarkEnd w:id="46"/>
    <w:bookmarkStart w:id="59" w:name="определение-спектра-и-параметров-сигнала"/>
    <w:p>
      <w:pPr>
        <w:pStyle w:val="Heading2"/>
      </w:pPr>
      <w:r>
        <w:t xml:space="preserve">2.3 Определение спектра и параметров сигнала</w:t>
      </w:r>
    </w:p>
    <w:p>
      <w:pPr>
        <w:pStyle w:val="FirstParagraph"/>
      </w:pPr>
      <w:r>
        <w:t xml:space="preserve">В рабочем каталоге создадим каталог spectre1 и в нём новый сценарий с именем, spectre.m. В коде повторим листинг по построению сигналов разной частоты. Получим график. (рис. 8)</w:t>
      </w:r>
    </w:p>
    <w:bookmarkStart w:id="50" w:name="fig:008"/>
    <w:p>
      <w:pPr>
        <w:pStyle w:val="CaptionedFigure"/>
      </w:pPr>
      <w:r>
        <w:drawing>
          <wp:inline>
            <wp:extent cx="3733800" cy="3217746"/>
            <wp:effectExtent b="0" l="0" r="0" t="0"/>
            <wp:docPr descr="График сигналов разной частоты" title="" id="48" name="Picture"/>
            <a:graphic>
              <a:graphicData uri="http://schemas.openxmlformats.org/drawingml/2006/picture">
                <pic:pic>
                  <pic:nvPicPr>
                    <pic:cNvPr descr="image/8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7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сигналов разной частоты</w:t>
      </w:r>
    </w:p>
    <w:bookmarkEnd w:id="50"/>
    <w:p>
      <w:pPr>
        <w:pStyle w:val="BodyText"/>
      </w:pPr>
      <w:r>
        <w:t xml:space="preserve">Далее добавим код для нахождения спектров сигналов с помощью быстрого преобразования Фурье и получим график. (рис. 9)</w:t>
      </w:r>
    </w:p>
    <w:bookmarkStart w:id="54" w:name="fig:009"/>
    <w:p>
      <w:pPr>
        <w:pStyle w:val="CaptionedFigure"/>
      </w:pPr>
      <w:r>
        <w:drawing>
          <wp:inline>
            <wp:extent cx="3733800" cy="3135788"/>
            <wp:effectExtent b="0" l="0" r="0" t="0"/>
            <wp:docPr descr="График спектра сигнала" title="" id="52" name="Picture"/>
            <a:graphic>
              <a:graphicData uri="http://schemas.openxmlformats.org/drawingml/2006/picture">
                <pic:pic>
                  <pic:nvPicPr>
                    <pic:cNvPr descr="image/10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спектра сигнала</w:t>
      </w:r>
    </w:p>
    <w:bookmarkEnd w:id="54"/>
    <w:p>
      <w:pPr>
        <w:pStyle w:val="BodyText"/>
      </w:pPr>
      <w:r>
        <w:t xml:space="preserve">Скорректируем график спектра: отбросим дублирующие отрицательные частоты, а также примем в расчёт то, что на каждом шаге вычисления быстрого преобразования</w:t>
      </w:r>
      <w:r>
        <w:t xml:space="preserve"> </w:t>
      </w:r>
      <w:r>
        <w:t xml:space="preserve">Фурье происходит суммирование амплитуд сигналов. (рис. 10)</w:t>
      </w:r>
    </w:p>
    <w:bookmarkStart w:id="58" w:name="fig:010"/>
    <w:p>
      <w:pPr>
        <w:pStyle w:val="CaptionedFigure"/>
      </w:pPr>
      <w:r>
        <w:drawing>
          <wp:inline>
            <wp:extent cx="3733800" cy="3070125"/>
            <wp:effectExtent b="0" l="0" r="0" t="0"/>
            <wp:docPr descr="Скорректированный график спектра" title="" id="56" name="Picture"/>
            <a:graphic>
              <a:graphicData uri="http://schemas.openxmlformats.org/drawingml/2006/picture">
                <pic:pic>
                  <pic:nvPicPr>
                    <pic:cNvPr descr="image/11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Скорректированный график спектра</w:t>
      </w:r>
    </w:p>
    <w:bookmarkEnd w:id="58"/>
    <w:bookmarkEnd w:id="59"/>
    <w:bookmarkStart w:id="68" w:name="амплитудная-модуляция"/>
    <w:p>
      <w:pPr>
        <w:pStyle w:val="Heading2"/>
      </w:pPr>
      <w:r>
        <w:t xml:space="preserve">2.4 Амплитудная модуляция</w:t>
      </w:r>
    </w:p>
    <w:p>
      <w:pPr>
        <w:pStyle w:val="FirstParagraph"/>
      </w:pPr>
      <w:r>
        <w:t xml:space="preserve">В рабочем каталоге создадим каталог modulation и в нём новый сценарий с именем am.m. Добавим в файле am.m код из листинга. (рис. 12)</w:t>
      </w:r>
    </w:p>
    <w:bookmarkStart w:id="63" w:name="fig:012"/>
    <w:p>
      <w:pPr>
        <w:pStyle w:val="CaptionedFigure"/>
      </w:pPr>
      <w:r>
        <w:drawing>
          <wp:inline>
            <wp:extent cx="3733800" cy="3333199"/>
            <wp:effectExtent b="0" l="0" r="0" t="0"/>
            <wp:docPr descr="Каталог modulation" title="" id="61" name="Picture"/>
            <a:graphic>
              <a:graphicData uri="http://schemas.openxmlformats.org/drawingml/2006/picture">
                <pic:pic>
                  <pic:nvPicPr>
                    <pic:cNvPr descr="image/16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modulation</w:t>
      </w:r>
    </w:p>
    <w:bookmarkEnd w:id="63"/>
    <w:p>
      <w:pPr>
        <w:pStyle w:val="BodyText"/>
      </w:pPr>
      <w:r>
        <w:t xml:space="preserve">В результате получаем, что спектр произведения представляет собой свёртку спектров (рис. 13)</w:t>
      </w:r>
    </w:p>
    <w:bookmarkStart w:id="67" w:name="fig:013"/>
    <w:p>
      <w:pPr>
        <w:pStyle w:val="CaptionedFigure"/>
      </w:pPr>
      <w:r>
        <w:drawing>
          <wp:inline>
            <wp:extent cx="3733800" cy="2932984"/>
            <wp:effectExtent b="0" l="0" r="0" t="0"/>
            <wp:docPr descr="Графики амплитудной модуляции" title="" id="65" name="Picture"/>
            <a:graphic>
              <a:graphicData uri="http://schemas.openxmlformats.org/drawingml/2006/picture">
                <pic:pic>
                  <pic:nvPicPr>
                    <pic:cNvPr descr="image/17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амплитудной модуляции</w:t>
      </w:r>
    </w:p>
    <w:bookmarkEnd w:id="67"/>
    <w:bookmarkEnd w:id="68"/>
    <w:bookmarkStart w:id="136" w:name="Xd3d5453b5762a1b1c0f0f300c80832d13c9bffc"/>
    <w:p>
      <w:pPr>
        <w:pStyle w:val="Heading2"/>
      </w:pPr>
      <w:r>
        <w:t xml:space="preserve">2.5 Кодирование сигнала. Исследование свойства самосинхронизации сигнала</w:t>
      </w:r>
    </w:p>
    <w:p>
      <w:pPr>
        <w:pStyle w:val="FirstParagraph"/>
      </w:pPr>
      <w:r>
        <w:t xml:space="preserve">В рабочем каталоге создадим каталог coding и в нём файлы main.m, maptowave.m,unipolar.m,ami.m,bipolarnrz.m,bipolarrz.m,manchester.m,</w:t>
      </w:r>
      <w:r>
        <w:t xml:space="preserve"> </w:t>
      </w:r>
      <w:r>
        <w:t xml:space="preserve">diffmanc.m, calcspectre.m (рис. 14)</w:t>
      </w:r>
    </w:p>
    <w:bookmarkStart w:id="72" w:name="fig:014"/>
    <w:p>
      <w:pPr>
        <w:pStyle w:val="CaptionedFigure"/>
      </w:pPr>
      <w:r>
        <w:drawing>
          <wp:inline>
            <wp:extent cx="3733800" cy="2725215"/>
            <wp:effectExtent b="0" l="0" r="0" t="0"/>
            <wp:docPr descr="Создание файлов" title="" id="70" name="Picture"/>
            <a:graphic>
              <a:graphicData uri="http://schemas.openxmlformats.org/drawingml/2006/picture">
                <pic:pic>
                  <pic:nvPicPr>
                    <pic:cNvPr descr="image/19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</w:t>
      </w:r>
    </w:p>
    <w:bookmarkEnd w:id="72"/>
    <w:p>
      <w:pPr>
        <w:pStyle w:val="BodyText"/>
      </w:pPr>
      <w:r>
        <w:t xml:space="preserve">В окне интерпретатора команд проверим, установлен ли пакет расширений signal: &gt;&gt; pkg list. Видим, что он установлен. (рис. 15)</w:t>
      </w:r>
    </w:p>
    <w:bookmarkStart w:id="76" w:name="fig:015"/>
    <w:p>
      <w:pPr>
        <w:pStyle w:val="CaptionedFigure"/>
      </w:pPr>
      <w:r>
        <w:drawing>
          <wp:inline>
            <wp:extent cx="3733800" cy="4392020"/>
            <wp:effectExtent b="0" l="0" r="0" t="0"/>
            <wp:docPr descr="Проверка пакета" title="" id="74" name="Picture"/>
            <a:graphic>
              <a:graphicData uri="http://schemas.openxmlformats.org/drawingml/2006/picture">
                <pic:pic>
                  <pic:nvPicPr>
                    <pic:cNvPr descr="image/20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пакета</w:t>
      </w:r>
    </w:p>
    <w:bookmarkEnd w:id="76"/>
    <w:p>
      <w:pPr>
        <w:pStyle w:val="BodyText"/>
      </w:pPr>
      <w:r>
        <w:t xml:space="preserve">В файле main.m подключим пакет signal и скопируем программу из листинга. (рис. 16)</w:t>
      </w:r>
    </w:p>
    <w:bookmarkStart w:id="80" w:name="fig:016"/>
    <w:p>
      <w:pPr>
        <w:pStyle w:val="CaptionedFigure"/>
      </w:pPr>
      <w:r>
        <w:drawing>
          <wp:inline>
            <wp:extent cx="3733800" cy="3478410"/>
            <wp:effectExtent b="0" l="0" r="0" t="0"/>
            <wp:docPr descr="Код main.m" title="" id="78" name="Picture"/>
            <a:graphic>
              <a:graphicData uri="http://schemas.openxmlformats.org/drawingml/2006/picture">
                <pic:pic>
                  <pic:nvPicPr>
                    <pic:cNvPr descr="image/21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main.m</w:t>
      </w:r>
    </w:p>
    <w:bookmarkEnd w:id="80"/>
    <w:p>
      <w:pPr>
        <w:pStyle w:val="BodyText"/>
      </w:pPr>
      <w:r>
        <w:t xml:space="preserve">Запустим главный скрипт main.m. В каталоге signal получены</w:t>
      </w:r>
      <w:r>
        <w:t xml:space="preserve"> </w:t>
      </w:r>
      <w:r>
        <w:t xml:space="preserve">файлы с графиками кодированного сигнала, в каталоге sync — файлы с графиками, иллюстрирующими свойства самосинхронизации, в каталоге spectre — файлы с графиками спектров сигналов. (рис. 19)</w:t>
      </w:r>
    </w:p>
    <w:bookmarkStart w:id="84" w:name="fig:019"/>
    <w:p>
      <w:pPr>
        <w:pStyle w:val="CaptionedFigure"/>
      </w:pPr>
      <w:r>
        <w:drawing>
          <wp:inline>
            <wp:extent cx="3733800" cy="1643467"/>
            <wp:effectExtent b="0" l="0" r="0" t="0"/>
            <wp:docPr descr="Полученные графики" title="" id="82" name="Picture"/>
            <a:graphic>
              <a:graphicData uri="http://schemas.openxmlformats.org/drawingml/2006/picture">
                <pic:pic>
                  <pic:nvPicPr>
                    <pic:cNvPr descr="image/22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3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Полученные графики</w:t>
      </w:r>
    </w:p>
    <w:bookmarkEnd w:id="84"/>
    <w:bookmarkStart w:id="88" w:name="fig:020"/>
    <w:p>
      <w:pPr>
        <w:pStyle w:val="CaptionedFigure"/>
      </w:pPr>
      <w:r>
        <w:drawing>
          <wp:inline>
            <wp:extent cx="3733800" cy="2866938"/>
            <wp:effectExtent b="0" l="0" r="0" t="0"/>
            <wp:docPr descr="Униполярное кодирование" title="" id="86" name="Picture"/>
            <a:graphic>
              <a:graphicData uri="http://schemas.openxmlformats.org/drawingml/2006/picture">
                <pic:pic>
                  <pic:nvPicPr>
                    <pic:cNvPr descr="image/25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</w:t>
      </w:r>
    </w:p>
    <w:bookmarkEnd w:id="88"/>
    <w:bookmarkStart w:id="92" w:name="fig:021"/>
    <w:p>
      <w:pPr>
        <w:pStyle w:val="CaptionedFigure"/>
      </w:pPr>
      <w:r>
        <w:drawing>
          <wp:inline>
            <wp:extent cx="3733800" cy="2953096"/>
            <wp:effectExtent b="0" l="0" r="0" t="0"/>
            <wp:docPr descr="Кодирование AMI" title="" id="90" name="Picture"/>
            <a:graphic>
              <a:graphicData uri="http://schemas.openxmlformats.org/drawingml/2006/picture">
                <pic:pic>
                  <pic:nvPicPr>
                    <pic:cNvPr descr="image/24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</w:t>
      </w:r>
    </w:p>
    <w:bookmarkEnd w:id="92"/>
    <w:bookmarkStart w:id="95" w:name="fig:022"/>
    <w:p>
      <w:pPr>
        <w:pStyle w:val="CaptionedFigure"/>
      </w:pPr>
      <w:r>
        <w:drawing>
          <wp:inline>
            <wp:extent cx="3733800" cy="2866938"/>
            <wp:effectExtent b="0" l="0" r="0" t="0"/>
            <wp:docPr descr="Кодирование NRZ" title="" id="93" name="Picture"/>
            <a:graphic>
              <a:graphicData uri="http://schemas.openxmlformats.org/drawingml/2006/picture">
                <pic:pic>
                  <pic:nvPicPr>
                    <pic:cNvPr descr="image/25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</w:t>
      </w:r>
    </w:p>
    <w:bookmarkEnd w:id="95"/>
    <w:bookmarkStart w:id="99" w:name="fig:023"/>
    <w:p>
      <w:pPr>
        <w:pStyle w:val="CaptionedFigure"/>
      </w:pPr>
      <w:r>
        <w:drawing>
          <wp:inline>
            <wp:extent cx="3733800" cy="2877515"/>
            <wp:effectExtent b="0" l="0" r="0" t="0"/>
            <wp:docPr descr="Кодирование RZ" title="" id="97" name="Picture"/>
            <a:graphic>
              <a:graphicData uri="http://schemas.openxmlformats.org/drawingml/2006/picture">
                <pic:pic>
                  <pic:nvPicPr>
                    <pic:cNvPr descr="image/26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</w:t>
      </w:r>
    </w:p>
    <w:bookmarkEnd w:id="99"/>
    <w:bookmarkStart w:id="103" w:name="fig:024"/>
    <w:p>
      <w:pPr>
        <w:pStyle w:val="CaptionedFigure"/>
      </w:pPr>
      <w:r>
        <w:drawing>
          <wp:inline>
            <wp:extent cx="3733800" cy="2914675"/>
            <wp:effectExtent b="0" l="0" r="0" t="0"/>
            <wp:docPr descr="Манчестерское кодирование" title="" id="101" name="Picture"/>
            <a:graphic>
              <a:graphicData uri="http://schemas.openxmlformats.org/drawingml/2006/picture">
                <pic:pic>
                  <pic:nvPicPr>
                    <pic:cNvPr descr="image/28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4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</w:t>
      </w:r>
    </w:p>
    <w:bookmarkEnd w:id="103"/>
    <w:bookmarkStart w:id="107" w:name="fig:025"/>
    <w:p>
      <w:pPr>
        <w:pStyle w:val="CaptionedFigure"/>
      </w:pPr>
      <w:r>
        <w:drawing>
          <wp:inline>
            <wp:extent cx="3733800" cy="2887009"/>
            <wp:effectExtent b="0" l="0" r="0" t="0"/>
            <wp:docPr descr="Дифференциальное манчестерское кодирование" title="" id="105" name="Picture"/>
            <a:graphic>
              <a:graphicData uri="http://schemas.openxmlformats.org/drawingml/2006/picture">
                <pic:pic>
                  <pic:nvPicPr>
                    <pic:cNvPr descr="image/27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7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</w:t>
      </w:r>
    </w:p>
    <w:bookmarkEnd w:id="107"/>
    <w:bookmarkStart w:id="111" w:name="fig:026"/>
    <w:p>
      <w:pPr>
        <w:pStyle w:val="CaptionedFigure"/>
      </w:pPr>
      <w:r>
        <w:drawing>
          <wp:inline>
            <wp:extent cx="3733800" cy="2905739"/>
            <wp:effectExtent b="0" l="0" r="0" t="0"/>
            <wp:docPr descr="Униполярное кодирование: нет самосинхронизации" title="" id="109" name="Picture"/>
            <a:graphic>
              <a:graphicData uri="http://schemas.openxmlformats.org/drawingml/2006/picture">
                <pic:pic>
                  <pic:nvPicPr>
                    <pic:cNvPr descr="image/29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5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нет самосинхронизации</w:t>
      </w:r>
    </w:p>
    <w:bookmarkEnd w:id="111"/>
    <w:bookmarkStart w:id="115" w:name="fig:032"/>
    <w:p>
      <w:pPr>
        <w:pStyle w:val="CaptionedFigure"/>
      </w:pPr>
      <w:r>
        <w:drawing>
          <wp:inline>
            <wp:extent cx="3733800" cy="2874076"/>
            <wp:effectExtent b="0" l="0" r="0" t="0"/>
            <wp:docPr descr="Униполярное кодирование: спектр сигнала" title="" id="113" name="Picture"/>
            <a:graphic>
              <a:graphicData uri="http://schemas.openxmlformats.org/drawingml/2006/picture">
                <pic:pic>
                  <pic:nvPicPr>
                    <pic:cNvPr descr="image/35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спектр сигнала</w:t>
      </w:r>
    </w:p>
    <w:bookmarkEnd w:id="115"/>
    <w:bookmarkStart w:id="119" w:name="fig:033"/>
    <w:p>
      <w:pPr>
        <w:pStyle w:val="CaptionedFigure"/>
      </w:pPr>
      <w:r>
        <w:drawing>
          <wp:inline>
            <wp:extent cx="3733800" cy="2842666"/>
            <wp:effectExtent b="0" l="0" r="0" t="0"/>
            <wp:docPr descr="Кодирование AMI: спектр сигнала" title="" id="117" name="Picture"/>
            <a:graphic>
              <a:graphicData uri="http://schemas.openxmlformats.org/drawingml/2006/picture">
                <pic:pic>
                  <pic:nvPicPr>
                    <pic:cNvPr descr="image/30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спектр сигнала</w:t>
      </w:r>
    </w:p>
    <w:bookmarkEnd w:id="119"/>
    <w:bookmarkStart w:id="123" w:name="fig:034"/>
    <w:p>
      <w:pPr>
        <w:pStyle w:val="CaptionedFigure"/>
      </w:pPr>
      <w:r>
        <w:drawing>
          <wp:inline>
            <wp:extent cx="3733800" cy="2872937"/>
            <wp:effectExtent b="0" l="0" r="0" t="0"/>
            <wp:docPr descr="Кодирование NRZ: спектр сигнала" title="" id="121" name="Picture"/>
            <a:graphic>
              <a:graphicData uri="http://schemas.openxmlformats.org/drawingml/2006/picture">
                <pic:pic>
                  <pic:nvPicPr>
                    <pic:cNvPr descr="image/31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2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спектр сигнала</w:t>
      </w:r>
    </w:p>
    <w:bookmarkEnd w:id="123"/>
    <w:bookmarkStart w:id="127" w:name="fig:035"/>
    <w:p>
      <w:pPr>
        <w:pStyle w:val="CaptionedFigure"/>
      </w:pPr>
      <w:r>
        <w:drawing>
          <wp:inline>
            <wp:extent cx="3733800" cy="2885665"/>
            <wp:effectExtent b="0" l="0" r="0" t="0"/>
            <wp:docPr descr="Кодирование RZ: спектр сигнала" title="" id="125" name="Picture"/>
            <a:graphic>
              <a:graphicData uri="http://schemas.openxmlformats.org/drawingml/2006/picture">
                <pic:pic>
                  <pic:nvPicPr>
                    <pic:cNvPr descr="image/32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спектр сигнала</w:t>
      </w:r>
    </w:p>
    <w:bookmarkEnd w:id="127"/>
    <w:bookmarkStart w:id="131" w:name="fig:036"/>
    <w:p>
      <w:pPr>
        <w:pStyle w:val="CaptionedFigure"/>
      </w:pPr>
      <w:r>
        <w:drawing>
          <wp:inline>
            <wp:extent cx="3733800" cy="2790472"/>
            <wp:effectExtent b="0" l="0" r="0" t="0"/>
            <wp:docPr descr="Манчестерское кодирование: спектр сигнала" title="" id="129" name="Picture"/>
            <a:graphic>
              <a:graphicData uri="http://schemas.openxmlformats.org/drawingml/2006/picture">
                <pic:pic>
                  <pic:nvPicPr>
                    <pic:cNvPr descr="image/34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спектр сигнала</w:t>
      </w:r>
    </w:p>
    <w:bookmarkEnd w:id="131"/>
    <w:bookmarkStart w:id="135" w:name="fig:037"/>
    <w:p>
      <w:pPr>
        <w:pStyle w:val="CaptionedFigure"/>
      </w:pPr>
      <w:r>
        <w:drawing>
          <wp:inline>
            <wp:extent cx="3733800" cy="2802893"/>
            <wp:effectExtent b="0" l="0" r="0" t="0"/>
            <wp:docPr descr="Дифференциальное манчестерское кодирование: спектр сигнала" title="" id="133" name="Picture"/>
            <a:graphic>
              <a:graphicData uri="http://schemas.openxmlformats.org/drawingml/2006/picture">
                <pic:pic>
                  <pic:nvPicPr>
                    <pic:cNvPr descr="image/33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2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кодирование: спектр сигнала</w:t>
      </w:r>
    </w:p>
    <w:bookmarkEnd w:id="135"/>
    <w:bookmarkEnd w:id="136"/>
    <w:bookmarkEnd w:id="137"/>
    <w:bookmarkStart w:id="1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рамках лабораторной работы мы изучили методов кодирования и модуляции сигналов с помощью высокоуровнего языка программирования Octave. Определили спектра и параметров</w:t>
      </w:r>
      <w:r>
        <w:t xml:space="preserve"> </w:t>
      </w:r>
      <w:r>
        <w:t xml:space="preserve">сигнала. Продемонстрировали принципы модуляции сигнала на примере аналоговой</w:t>
      </w:r>
      <w:r>
        <w:t xml:space="preserve"> </w:t>
      </w:r>
      <w:r>
        <w:t xml:space="preserve">амплитудной модуляции. Исследовали свойства самосинхронизации сигнала.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51" Target="media/rId51.jpg" /><Relationship Type="http://schemas.openxmlformats.org/officeDocument/2006/relationships/image" Id="rId55" Target="media/rId55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9" Target="media/rId69.jpg" /><Relationship Type="http://schemas.openxmlformats.org/officeDocument/2006/relationships/image" Id="rId21" Target="media/rId21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9" Target="media/rId89.jpg" /><Relationship Type="http://schemas.openxmlformats.org/officeDocument/2006/relationships/image" Id="rId85" Target="media/rId85.jpg" /><Relationship Type="http://schemas.openxmlformats.org/officeDocument/2006/relationships/image" Id="rId96" Target="media/rId96.jpg" /><Relationship Type="http://schemas.openxmlformats.org/officeDocument/2006/relationships/image" Id="rId104" Target="media/rId104.jpg" /><Relationship Type="http://schemas.openxmlformats.org/officeDocument/2006/relationships/image" Id="rId100" Target="media/rId100.jpg" /><Relationship Type="http://schemas.openxmlformats.org/officeDocument/2006/relationships/image" Id="rId108" Target="media/rId108.jpg" /><Relationship Type="http://schemas.openxmlformats.org/officeDocument/2006/relationships/image" Id="rId29" Target="media/rId29.jpg" /><Relationship Type="http://schemas.openxmlformats.org/officeDocument/2006/relationships/image" Id="rId116" Target="media/rId116.jpg" /><Relationship Type="http://schemas.openxmlformats.org/officeDocument/2006/relationships/image" Id="rId120" Target="media/rId120.jpg" /><Relationship Type="http://schemas.openxmlformats.org/officeDocument/2006/relationships/image" Id="rId124" Target="media/rId124.jpg" /><Relationship Type="http://schemas.openxmlformats.org/officeDocument/2006/relationships/image" Id="rId132" Target="media/rId132.jpg" /><Relationship Type="http://schemas.openxmlformats.org/officeDocument/2006/relationships/image" Id="rId128" Target="media/rId128.jpg" /><Relationship Type="http://schemas.openxmlformats.org/officeDocument/2006/relationships/image" Id="rId112" Target="media/rId112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7" Target="media/rId4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Жаворонков Кирилл Александрович</dc:creator>
  <dc:language>ru-RU</dc:language>
  <cp:keywords/>
  <dcterms:created xsi:type="dcterms:W3CDTF">2026-03-12T17:40:17Z</dcterms:created>
  <dcterms:modified xsi:type="dcterms:W3CDTF">2026-03-12T17:40:17Z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Сетевые технологии</vt:lpwstr>
  </property>
  <property fmtid="{D5CDD505-2E9C-101B-9397-08002B2CF9AE}" pid="14" name="toc-title">
    <vt:lpwstr>Содержание</vt:lpwstr>
  </property>
</Properties>
</file>