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gsie-engineering-handbook"/>
    <w:p>
      <w:pPr>
        <w:pStyle w:val="Heading1"/>
      </w:pPr>
      <w:r>
        <w:t xml:space="preserve">GSIE Engineering Handbook</w:t>
      </w:r>
    </w:p>
    <w:bookmarkEnd w:id="20"/>
    <w:bookmarkStart w:id="22" w:name="tome-i-vision-fondation"/>
    <w:p>
      <w:pPr>
        <w:pStyle w:val="Heading1"/>
      </w:pPr>
      <w:r>
        <w:t xml:space="preserve">Tome I — Vision &amp; Fondation</w:t>
      </w:r>
    </w:p>
    <w:bookmarkStart w:id="21" w:name="préface"/>
    <w:p>
      <w:pPr>
        <w:pStyle w:val="Heading2"/>
      </w:pPr>
      <w:r>
        <w:t xml:space="preserve">Préface</w:t>
      </w:r>
    </w:p>
    <w:p>
      <w:pPr>
        <w:pStyle w:val="FirstParagraph"/>
      </w:pPr>
      <w:r>
        <w:t xml:space="preserve">GSIE (GeoSylva Intelligence Engine) est né d’un constat simple : les outils forestiers actuels excellent souvent dans une tâche précise (cartographie, inventaire, SIG, calculs), mais très peu sont capables de relier l’ensemble des connaissances nécessaires à une décision forestière.</w:t>
      </w:r>
    </w:p>
    <w:p>
      <w:pPr>
        <w:pStyle w:val="BodyText"/>
      </w:pPr>
      <w:r>
        <w:t xml:space="preserve">L’objectif de GSIE n’est pas de remplacer le forestier. Son objectif est de lui fournir un système expert transparent, explicable et scientifiquement fondé.</w:t>
      </w:r>
    </w:p>
    <w:p>
      <w:pPr>
        <w:pStyle w:val="BodyText"/>
      </w:pPr>
      <w:r>
        <w:t xml:space="preserve">Ce manuel constitue la référence officielle du projet. Toute évolution de GSIE devra rester compatible avec les principes décrits ici.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chapitre-1-pourquoi-gsie-existe"/>
    <w:p>
      <w:pPr>
        <w:pStyle w:val="Heading1"/>
      </w:pPr>
      <w:r>
        <w:t xml:space="preserve">Chapitre 1 — Pourquoi GSIE existe</w:t>
      </w:r>
    </w:p>
    <w:bookmarkStart w:id="23" w:name="le-problème"/>
    <w:p>
      <w:pPr>
        <w:pStyle w:val="Heading2"/>
      </w:pPr>
      <w:r>
        <w:t xml:space="preserve">1. Le problème</w:t>
      </w:r>
    </w:p>
    <w:p>
      <w:pPr>
        <w:pStyle w:val="FirstParagraph"/>
      </w:pPr>
      <w:r>
        <w:t xml:space="preserve">La connaissance forestière est dispersée entre des centaines de livres, guides techniques, publications scientifiques, bases de données, cartes et retours d’expérience.</w:t>
      </w:r>
    </w:p>
    <w:p>
      <w:pPr>
        <w:pStyle w:val="BodyText"/>
      </w:pPr>
      <w:r>
        <w:t xml:space="preserve">Un gestionnaire doit aujourd’hui croiser manuellement :</w:t>
      </w:r>
      <w:r>
        <w:t xml:space="preserve"> </w:t>
      </w:r>
      <w:r>
        <w:t xml:space="preserve">- les données de terrain ;</w:t>
      </w:r>
      <w:r>
        <w:t xml:space="preserve"> </w:t>
      </w:r>
      <w:r>
        <w:t xml:space="preserve">- la topographie ;</w:t>
      </w:r>
      <w:r>
        <w:t xml:space="preserve"> </w:t>
      </w:r>
      <w:r>
        <w:t xml:space="preserve">- les sols ;</w:t>
      </w:r>
      <w:r>
        <w:t xml:space="preserve"> </w:t>
      </w:r>
      <w:r>
        <w:t xml:space="preserve">- la réserve utile maximale (RUM) ;</w:t>
      </w:r>
      <w:r>
        <w:t xml:space="preserve"> </w:t>
      </w:r>
      <w:r>
        <w:t xml:space="preserve">- le climat actuel ;</w:t>
      </w:r>
      <w:r>
        <w:t xml:space="preserve"> </w:t>
      </w:r>
      <w:r>
        <w:t xml:space="preserve">- les projections climatiques ;</w:t>
      </w:r>
      <w:r>
        <w:t xml:space="preserve"> </w:t>
      </w:r>
      <w:r>
        <w:t xml:space="preserve">- les contraintes réglementaires ;</w:t>
      </w:r>
      <w:r>
        <w:t xml:space="preserve"> </w:t>
      </w:r>
      <w:r>
        <w:t xml:space="preserve">- les habitats naturels ;</w:t>
      </w:r>
      <w:r>
        <w:t xml:space="preserve"> </w:t>
      </w:r>
      <w:r>
        <w:t xml:space="preserve">- les connaissances bibliographiques.</w:t>
      </w:r>
    </w:p>
    <w:p>
      <w:pPr>
        <w:pStyle w:val="BodyText"/>
      </w:pPr>
      <w:r>
        <w:t xml:space="preserve">Aucun outil ne réalise aujourd’hui cette synthèse de manière totalement explicable.</w:t>
      </w:r>
    </w:p>
    <w:bookmarkEnd w:id="23"/>
    <w:bookmarkStart w:id="24" w:name="la-réponse-de-gsie"/>
    <w:p>
      <w:pPr>
        <w:pStyle w:val="Heading2"/>
      </w:pPr>
      <w:r>
        <w:t xml:space="preserve">2. La réponse de GSIE</w:t>
      </w:r>
    </w:p>
    <w:p>
      <w:pPr>
        <w:pStyle w:val="FirstParagraph"/>
      </w:pPr>
      <w:r>
        <w:t xml:space="preserve">GSIE a pour ambition de devenir une plateforme de connaissance forestière.</w:t>
      </w:r>
    </w:p>
    <w:p>
      <w:pPr>
        <w:pStyle w:val="BodyText"/>
      </w:pPr>
      <w:r>
        <w:t xml:space="preserve">Ses missions sont :</w:t>
      </w:r>
    </w:p>
    <w:p>
      <w:pPr>
        <w:pStyle w:val="Compact"/>
        <w:numPr>
          <w:ilvl w:val="0"/>
          <w:numId w:val="1001"/>
        </w:numPr>
      </w:pPr>
      <w:r>
        <w:t xml:space="preserve">centraliser les connaissances ;</w:t>
      </w:r>
    </w:p>
    <w:p>
      <w:pPr>
        <w:pStyle w:val="Compact"/>
        <w:numPr>
          <w:ilvl w:val="0"/>
          <w:numId w:val="1001"/>
        </w:numPr>
      </w:pPr>
      <w:r>
        <w:t xml:space="preserve">qualifier leur niveau de preuve ;</w:t>
      </w:r>
    </w:p>
    <w:p>
      <w:pPr>
        <w:pStyle w:val="Compact"/>
        <w:numPr>
          <w:ilvl w:val="0"/>
          <w:numId w:val="1001"/>
        </w:numPr>
      </w:pPr>
      <w:r>
        <w:t xml:space="preserve">les relier dans un graphe de connaissances ;</w:t>
      </w:r>
    </w:p>
    <w:p>
      <w:pPr>
        <w:pStyle w:val="Compact"/>
        <w:numPr>
          <w:ilvl w:val="0"/>
          <w:numId w:val="1001"/>
        </w:numPr>
      </w:pPr>
      <w:r>
        <w:t xml:space="preserve">raisonner sur ces connaissances ;</w:t>
      </w:r>
    </w:p>
    <w:p>
      <w:pPr>
        <w:pStyle w:val="Compact"/>
        <w:numPr>
          <w:ilvl w:val="0"/>
          <w:numId w:val="1001"/>
        </w:numPr>
      </w:pPr>
      <w:r>
        <w:t xml:space="preserve">produire des recommandations justifiées ;</w:t>
      </w:r>
    </w:p>
    <w:p>
      <w:pPr>
        <w:pStyle w:val="Compact"/>
        <w:numPr>
          <w:ilvl w:val="0"/>
          <w:numId w:val="1001"/>
        </w:numPr>
      </w:pPr>
      <w:r>
        <w:t xml:space="preserve">conserver la décision finale à l’utilisateur.</w:t>
      </w:r>
    </w:p>
    <w:bookmarkEnd w:id="24"/>
    <w:bookmarkStart w:id="25" w:name="les-principes"/>
    <w:p>
      <w:pPr>
        <w:pStyle w:val="Heading2"/>
      </w:pPr>
      <w:r>
        <w:t xml:space="preserve">3. Les principes</w:t>
      </w:r>
    </w:p>
    <w:p>
      <w:pPr>
        <w:pStyle w:val="Compact"/>
        <w:numPr>
          <w:ilvl w:val="0"/>
          <w:numId w:val="1002"/>
        </w:numPr>
      </w:pPr>
      <w:r>
        <w:t xml:space="preserve">La science avant l’opinion.</w:t>
      </w:r>
    </w:p>
    <w:p>
      <w:pPr>
        <w:pStyle w:val="Compact"/>
        <w:numPr>
          <w:ilvl w:val="0"/>
          <w:numId w:val="1002"/>
        </w:numPr>
      </w:pPr>
      <w:r>
        <w:t xml:space="preserve">La connaissance avant le code.</w:t>
      </w:r>
    </w:p>
    <w:p>
      <w:pPr>
        <w:pStyle w:val="Compact"/>
        <w:numPr>
          <w:ilvl w:val="0"/>
          <w:numId w:val="1002"/>
        </w:numPr>
      </w:pPr>
      <w:r>
        <w:t xml:space="preserve">L’explicabilité avant la performance.</w:t>
      </w:r>
    </w:p>
    <w:p>
      <w:pPr>
        <w:pStyle w:val="Compact"/>
        <w:numPr>
          <w:ilvl w:val="0"/>
          <w:numId w:val="1002"/>
        </w:numPr>
      </w:pPr>
      <w:r>
        <w:t xml:space="preserve">La documentation avant l’implémentation.</w:t>
      </w:r>
    </w:p>
    <w:p>
      <w:pPr>
        <w:pStyle w:val="Compact"/>
        <w:numPr>
          <w:ilvl w:val="0"/>
          <w:numId w:val="1002"/>
        </w:numPr>
      </w:pPr>
      <w:r>
        <w:t xml:space="preserve">La modularité avant la complexité.</w:t>
      </w:r>
    </w:p>
    <w:bookmarkEnd w:id="25"/>
    <w:bookmarkStart w:id="26" w:name="les-objectifs-à-long-terme"/>
    <w:p>
      <w:pPr>
        <w:pStyle w:val="Heading2"/>
      </w:pPr>
      <w:r>
        <w:t xml:space="preserve">4. Les objectifs à long terme</w:t>
      </w:r>
    </w:p>
    <w:p>
      <w:pPr>
        <w:pStyle w:val="FirstParagraph"/>
      </w:pPr>
      <w:r>
        <w:t xml:space="preserve">À terme, GSIE devra être capable de :</w:t>
      </w:r>
      <w:r>
        <w:t xml:space="preserve"> </w:t>
      </w:r>
      <w:r>
        <w:t xml:space="preserve">- réaliser un diagnostic stationnel semi-automatique ;</w:t>
      </w:r>
      <w:r>
        <w:t xml:space="preserve"> </w:t>
      </w:r>
      <w:r>
        <w:t xml:space="preserve">- proposer des essences adaptées au climat futur ;</w:t>
      </w:r>
      <w:r>
        <w:t xml:space="preserve"> </w:t>
      </w:r>
      <w:r>
        <w:t xml:space="preserve">- expliquer chaque recommandation ;</w:t>
      </w:r>
      <w:r>
        <w:t xml:space="preserve"> </w:t>
      </w:r>
      <w:r>
        <w:t xml:space="preserve">- intégrer les données IGN, INPN, Météo-France, Copernicus et les référentiels scientifiques ;</w:t>
      </w:r>
      <w:r>
        <w:t xml:space="preserve"> </w:t>
      </w:r>
      <w:r>
        <w:t xml:space="preserve">- fonctionner hors ligne sur le terrain ;</w:t>
      </w:r>
      <w:r>
        <w:t xml:space="preserve"> </w:t>
      </w:r>
      <w:r>
        <w:t xml:space="preserve">- servir de plateforme commune aux applications GeoSylva.</w:t>
      </w:r>
    </w:p>
    <w:bookmarkEnd w:id="26"/>
    <w:bookmarkStart w:id="27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GSIE n’est pas conçu comme une application.</w:t>
      </w:r>
    </w:p>
    <w:p>
      <w:pPr>
        <w:pStyle w:val="BodyText"/>
      </w:pPr>
      <w:r>
        <w:t xml:space="preserve">GSIE est conçu comme une infrastructure scientifique durable dont GeoSylva constitue la première implémentation.</w:t>
      </w:r>
    </w:p>
    <w:bookmarkEnd w:id="27"/>
    <w:bookmarkEnd w:id="2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2026-07-02T06:52:33Z</dcterms:created>
  <dcterms:modified xsi:type="dcterms:W3CDTF">2026-07-02T06:52:33Z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