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Title"/>
        <w:spacing w:after="120"/>
      </w:pPr>
      <w:r>
        <w:t xml:space="preserve">Legal, Compliance &amp; Contractual Framework</w:t>
      </w:r>
    </w:p>
    <w:p>
      <w:pPr>
        <w:pBdr>
          <w:bottom w:val="single" w:color="2E75B6" w:sz="12" w:space="8"/>
        </w:pBdr>
        <w:spacing w:after="400"/>
      </w:pPr>
      <w:r>
        <w:rPr>
          <w:color w:val="555555"/>
          <w:sz w:val="26"/>
          <w:szCs w:val="26"/>
        </w:rPr>
        <w:t xml:space="preserve">AI Assistant Platform for the European Insurance Sector</w:t>
      </w:r>
    </w:p>
    <w:p>
      <w:pPr>
        <w:spacing w:after="60"/>
      </w:pPr>
      <w:r>
        <w:rPr>
          <w:b/>
          <w:bCs/>
        </w:rPr>
        <w:t xml:space="preserve">Prepared for: </w:t>
      </w:r>
      <w:r>
        <w:t xml:space="preserve">[Company Name] Ltd, Nicosia, Cyprus</w:t>
      </w:r>
    </w:p>
    <w:p>
      <w:pPr>
        <w:spacing w:after="60"/>
      </w:pPr>
      <w:r>
        <w:rPr>
          <w:b/>
          <w:bCs/>
        </w:rPr>
        <w:t xml:space="preserve">Document type: </w:t>
      </w:r>
      <w:r>
        <w:t xml:space="preserve">Compliance framework + contract templates (Data Processing Agreement; Terms of Service)</w:t>
      </w:r>
    </w:p>
    <w:p>
      <w:pPr>
        <w:spacing w:after="60"/>
      </w:pPr>
      <w:r>
        <w:rPr>
          <w:b/>
          <w:bCs/>
        </w:rPr>
        <w:t xml:space="preserve">Audience: </w:t>
      </w:r>
      <w:r>
        <w:t xml:space="preserve">Clients (insurers and brokers) and their counsel</w:t>
      </w:r>
    </w:p>
    <w:p>
      <w:pPr>
        <w:spacing w:after="60"/>
      </w:pPr>
      <w:r>
        <w:rPr>
          <w:b/>
          <w:bCs/>
        </w:rPr>
        <w:t xml:space="preserve">Version / date: </w:t>
      </w:r>
      <w:r>
        <w:t xml:space="preserve">Draft v1.0 — [date]</w:t>
      </w:r>
    </w:p>
    <w:p>
      <w:pPr>
        <w:spacing w:after="60"/>
      </w:pPr>
      <w:r>
        <w:rPr>
          <w:b/>
          <w:bCs/>
        </w:rPr>
        <w:t xml:space="preserve">Governing law: </w:t>
      </w:r>
      <w:r>
        <w:t xml:space="preserve">Republic of Cyprus; European Union law</w:t>
      </w:r>
    </w:p>
    <w:p>
      <w:pPr>
        <w:pBdr>
          <w:left w:val="single" w:color="C8881B" w:sz="18" w:space="8"/>
        </w:pBdr>
        <w:shd w:fill="FDF1D6" w:val="clear"/>
        <w:spacing w:after="0" w:before="360"/>
      </w:pPr>
      <w:r>
        <w:rPr>
          <w:b/>
          <w:bCs/>
          <w:color w:val="8A5A00"/>
        </w:rPr>
        <w:t xml:space="preserve">IMPORTANT — NOT LEGAL ADVICE. </w:t>
      </w:r>
      <w:r>
        <w:rPr>
          <w:i/>
          <w:iCs/>
          <w:color w:val="5C4400"/>
        </w:rPr>
        <w:t xml:space="preserve">This document is a professional drafting template prepared to wrap up the project’s technical and regulatory work. It is not legal advice and is not a substitute for review by qualified Cyprus/EU counsel. Bracketed [PLACEHOLDERS] must be completed and every clause confirmed before use, filing, or publication.</w:t>
      </w:r>
    </w:p>
    <w:p>
      <w:r>
        <w:br w:type="page"/>
      </w:r>
    </w:p>
    <w:p>
      <w:pPr>
        <w:pStyle w:val="Heading1"/>
      </w:pPr>
      <w:r>
        <w:t xml:space="preserve">Table of Contents</w:t>
      </w:r>
    </w:p>
    <w:sdt>
      <w:sdtPr>
        <w:alias w:val="Right-click and choose ‘Update Field’ to populat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A — Compliance &amp; Legal Framework</w:t>
      </w:r>
    </w:p>
    <w:p>
      <w:pPr>
        <w:pStyle w:val="Heading2"/>
      </w:pPr>
      <w:r>
        <w:t xml:space="preserve">A1. Purpose and scope</w:t>
      </w:r>
    </w:p>
    <w:p>
      <w:pPr>
        <w:spacing w:after="120" w:line="264"/>
        <w:jc w:val="both"/>
      </w:pPr>
      <w:r>
        <w:t xml:space="preserve">This framework consolidates the technical architecture, operational model, and European regulatory position of the AI assistant platform operated by [Company Name] Ltd (the “Platform”, “we”, “us”), a company established in Nicosia, Cyprus. It is written for prospective and existing clients — insurers and insurance intermediaries (“Clients”) — and their advisers, and it underpins the contract templates in Part B.</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This is a drafting template, not legal advice. A qualified Cyprus/EU lawyer must review and adapt it before it is relied upon. Bracketed values must be completed.</w:t>
      </w:r>
    </w:p>
    <w:p>
      <w:pPr>
        <w:pStyle w:val="Heading2"/>
      </w:pPr>
      <w:r>
        <w:t xml:space="preserve">A2. The Platform in summary</w:t>
      </w:r>
    </w:p>
    <w:p>
      <w:pPr>
        <w:spacing w:after="120" w:line="264"/>
        <w:jc w:val="both"/>
      </w:pPr>
      <w:r>
        <w:t xml:space="preserve">The Platform provides white-label conversational AI assistants for Client-facing use cases — customer service, claims intake (first notice of loss), policy and coverage Q&amp;A, and lead qualification. Each Client receives a private, branded assistant. The Platform deliberately does not provide AI for life or health insurance risk assessment, pricing, or underwriting, which are classified as high-risk under the EU AI Act (see A6.2).</w:t>
      </w:r>
    </w:p>
    <w:p>
      <w:pPr>
        <w:pStyle w:val="ListParagraph"/>
        <w:numPr>
          <w:ilvl w:val="0"/>
          <w:numId w:val="2"/>
        </w:numPr>
        <w:spacing w:after="70" w:line="260"/>
      </w:pPr>
      <w:r>
        <w:t xml:space="preserve">Conversation engine: the Platform is built on Voiceflow as the underlying conversational AI engine, accessed exclusively through the Platform’s own server-side integration.</w:t>
      </w:r>
    </w:p>
    <w:p>
      <w:pPr>
        <w:pStyle w:val="ListParagraph"/>
        <w:numPr>
          <w:ilvl w:val="0"/>
          <w:numId w:val="2"/>
        </w:numPr>
        <w:spacing w:after="70" w:line="260"/>
      </w:pPr>
      <w:r>
        <w:t xml:space="preserve">Application stack: a Laravel (PHP) application implements all Client-facing functionality — onboarding, the branded chat interface, billing, dashboards, and the compliance controls in A7.</w:t>
      </w:r>
    </w:p>
    <w:p>
      <w:pPr>
        <w:pStyle w:val="ListParagraph"/>
        <w:numPr>
          <w:ilvl w:val="0"/>
          <w:numId w:val="2"/>
        </w:numPr>
        <w:spacing w:after="70" w:line="260"/>
      </w:pPr>
      <w:r>
        <w:t xml:space="preserve">Engine independence: all application logic depends on a single internal interface (the “engine seam”); only one component is aware of Voiceflow, so the engine can be replaced without rebuilding the Platform.</w:t>
      </w:r>
    </w:p>
    <w:p>
      <w:pPr>
        <w:pStyle w:val="Heading2"/>
      </w:pPr>
      <w:r>
        <w:t xml:space="preserve">A3. Architecture</w:t>
      </w:r>
    </w:p>
    <w:p>
      <w:pPr>
        <w:spacing w:after="120" w:line="264"/>
        <w:jc w:val="both"/>
      </w:pPr>
      <w:r>
        <w:t xml:space="preserve">The Platform is organised around an abstraction (the “AssistantEngine” contract) that isolates the conversation engine. Provisioning and runtime both pass through this seam, and the Voiceflow API credential is held only on the Platform’s servers and is never exposed to browsers or end-users.</w:t>
      </w:r>
    </w:p>
    <w:p>
      <w:pPr>
        <w:pStyle w:val="Heading3"/>
      </w:pPr>
      <w:r>
        <w:t xml:space="preserve">Provisioning (once per Client)</w:t>
      </w:r>
    </w:p>
    <w:p>
      <w:pPr>
        <w:spacing w:after="120" w:line="264"/>
        <w:jc w:val="both"/>
      </w:pPr>
      <w:r>
        <w:t xml:space="preserve">On Client onboarding, the Platform asynchronously clones a template assistant environment, publishes it, and applies the Client’s configuration and credentials. Onboarding returns immediately; provisioning completes in the background and the Client’s status moves to ‘ready’ (or ‘failed’, with retry).</w:t>
      </w:r>
    </w:p>
    <w:p>
      <w:pPr>
        <w:pStyle w:val="Heading3"/>
      </w:pPr>
      <w:r>
        <w:t xml:space="preserve">Runtime (each interaction)</w:t>
      </w:r>
    </w:p>
    <w:p>
      <w:pPr>
        <w:spacing w:after="120" w:line="264"/>
        <w:jc w:val="both"/>
      </w:pPr>
      <w:r>
        <w:t xml:space="preserve">End-user messages travel from the branded interface to the Platform’s server-side proxy, which calls the engine and returns normalised responses. The end-user never communicates with Voiceflow directly; no engine branding or credential is exposed.</w:t>
      </w:r>
    </w:p>
    <w:p>
      <w:pPr>
        <w:pStyle w:val="Heading2"/>
      </w:pPr>
      <w:r>
        <w:t xml:space="preserve">A4. Commercial and billing model</w:t>
      </w:r>
    </w:p>
    <w:p>
      <w:pPr>
        <w:spacing w:after="120" w:line="264"/>
        <w:jc w:val="both"/>
      </w:pPr>
      <w:r>
        <w:t xml:space="preserve">The underlying engine is billed to the Platform at the organisation level — a single subscription plus a shared, usage-based credit pool, with optional add-ons; there is no per-Client engine subscription. The Platform operates its own separate credit ledger for Clients, meters usage per interaction, enforces per-Client limits, and reconciles against actual engine consumption. Client charges, limits, and any auto-replenishment are governed by the Terms of Service (Part B, Schedule 2).</w:t>
      </w:r>
    </w:p>
    <w:p>
      <w:pPr>
        <w:pStyle w:val="Heading2"/>
      </w:pPr>
      <w:r>
        <w:t xml:space="preserve">A5. Information security</w:t>
      </w:r>
    </w:p>
    <w:p>
      <w:pPr>
        <w:pStyle w:val="ListParagraph"/>
        <w:numPr>
          <w:ilvl w:val="0"/>
          <w:numId w:val="2"/>
        </w:numPr>
        <w:spacing w:after="70" w:line="260"/>
      </w:pPr>
      <w:r>
        <w:t xml:space="preserve">Credentials: the engine API credential is stored server-side only, rotated on a scheduled basis, and never disclosed in responses, interfaces, logs, or source control.</w:t>
      </w:r>
    </w:p>
    <w:p>
      <w:pPr>
        <w:pStyle w:val="ListParagraph"/>
        <w:numPr>
          <w:ilvl w:val="0"/>
          <w:numId w:val="2"/>
        </w:numPr>
        <w:spacing w:after="70" w:line="260"/>
      </w:pPr>
      <w:r>
        <w:t xml:space="preserve">Tenant isolation: each Client operates in a separate assistant environment; access is authorised against the authenticated account, and the per-Client usage limit prevents one Client from exhausting shared engine capacity.</w:t>
      </w:r>
    </w:p>
    <w:p>
      <w:pPr>
        <w:pStyle w:val="ListParagraph"/>
        <w:numPr>
          <w:ilvl w:val="0"/>
          <w:numId w:val="2"/>
        </w:numPr>
        <w:spacing w:after="70" w:line="260"/>
      </w:pPr>
      <w:r>
        <w:t xml:space="preserve">Data protection in transit and at rest: encryption in transit (TLS); encryption at rest and key management as implemented by the Platform and its sub-processors.</w:t>
      </w:r>
    </w:p>
    <w:p>
      <w:pPr>
        <w:pStyle w:val="ListParagraph"/>
        <w:numPr>
          <w:ilvl w:val="0"/>
          <w:numId w:val="2"/>
        </w:numPr>
        <w:spacing w:after="70" w:line="260"/>
      </w:pPr>
      <w:r>
        <w:t xml:space="preserve">Personal-data redaction: production transcripts are subject to automated PII redaction at the engine layer; because that redaction is limited to English, the Platform additionally minimises personal-data capture and applies its own redaction before logging.</w:t>
      </w:r>
    </w:p>
    <w:p>
      <w:pPr>
        <w:pStyle w:val="ListParagraph"/>
        <w:numPr>
          <w:ilvl w:val="0"/>
          <w:numId w:val="2"/>
        </w:numPr>
        <w:spacing w:after="70" w:line="260"/>
      </w:pPr>
      <w:r>
        <w:t xml:space="preserve">Application controls: rate limiting, input validation, signed session tokens for the chat interface, dashboard authentication, webhook verification, audit logging, and monitoring with alerting.</w:t>
      </w:r>
    </w:p>
    <w:p>
      <w:pPr>
        <w:spacing w:after="120" w:line="264"/>
        <w:jc w:val="both"/>
      </w:pPr>
      <w:r>
        <w:rPr>
          <w:b/>
          <w:bCs/>
        </w:rPr>
        <w:t xml:space="preserve">Sub-processor assurances (validated). </w:t>
      </w:r>
      <w:r>
        <w:t xml:space="preserve">The conversation engine provider (Voiceflow) publicly maintains SOC 2 Type II, ISO/IEC 27001:2022, GDPR, and HIPAA programmes, with encryption at rest using customer-managed keys, TLS/mTLS, multi-availability-zone hosting, tested disaster recovery, and external penetration testing. The Platform’s own certifications are [state only those actually held].</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State only security measures and certifications the Platform can actually evidence. Do not claim a certification or framework membership the Platform does not hold.</w:t>
      </w:r>
    </w:p>
    <w:p>
      <w:pPr>
        <w:pStyle w:val="Heading2"/>
      </w:pPr>
      <w:r>
        <w:t xml:space="preserve">A6. European regulatory position</w:t>
      </w:r>
    </w:p>
    <w:p>
      <w:pPr>
        <w:spacing w:after="120" w:line="264"/>
        <w:jc w:val="both"/>
      </w:pPr>
      <w:r>
        <w:t xml:space="preserve">The Platform processes the personal data of EU residents on behalf of regulated Clients. The parties’ roles across the applicable regimes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0"/>
            </w:pPr>
            <w:r>
              <w:rPr>
                <w:b/>
                <w:bCs/>
                <w:color w:val="FFFFFF"/>
              </w:rPr>
              <w:t xml:space="preserve">Regime</w:t>
            </w:r>
          </w:p>
        </w:tc>
        <w:tc>
          <w:tcPr>
            <w:tcW w:type="dxa" w:w="3213"/>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0"/>
            </w:pPr>
            <w:r>
              <w:rPr>
                <w:b/>
                <w:bCs/>
                <w:color w:val="FFFFFF"/>
              </w:rPr>
              <w:t xml:space="preserve">Client (insurer / broker)</w:t>
            </w:r>
          </w:p>
        </w:tc>
        <w:tc>
          <w:tcPr>
            <w:tcW w:type="dxa" w:w="3213"/>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spacing w:after="0" w:line="250"/>
            </w:pPr>
            <w:r>
              <w:rPr>
                <w:b/>
                <w:bCs/>
                <w:color w:val="FFFFFF"/>
              </w:rPr>
              <w:t xml:space="preserve">[Company Name] (the platform)</w:t>
            </w:r>
          </w:p>
        </w:tc>
      </w:tr>
      <w:tr>
        <w:trPr>
          <w:tblHeader w:val="false"/>
        </w:trPr>
        <w:tc>
          <w:tcPr>
            <w:tcW w:type="dxa" w:w="2600"/>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GDPR (Reg. 2016/679)</w:t>
            </w:r>
          </w:p>
        </w:tc>
        <w:tc>
          <w:tcPr>
            <w:tcW w:type="dxa" w:w="3213"/>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Data controller</w:t>
            </w:r>
          </w:p>
        </w:tc>
        <w:tc>
          <w:tcPr>
            <w:tcW w:type="dxa" w:w="3213"/>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Data processor</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EU AI Act (Reg. 2024/1689)</w:t>
            </w:r>
          </w:p>
        </w:tc>
        <w:tc>
          <w:tcPr>
            <w:tcW w:type="dxa" w:w="32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Deployer</w:t>
            </w:r>
          </w:p>
        </w:tc>
        <w:tc>
          <w:tcPr>
            <w:tcW w:type="dxa" w:w="32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Provider</w:t>
            </w:r>
          </w:p>
        </w:tc>
      </w:tr>
      <w:tr>
        <w:trPr>
          <w:tblHeader w:val="false"/>
        </w:trPr>
        <w:tc>
          <w:tcPr>
            <w:tcW w:type="dxa" w:w="2600"/>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DORA (Reg. 2022/2554)</w:t>
            </w:r>
          </w:p>
        </w:tc>
        <w:tc>
          <w:tcPr>
            <w:tcW w:type="dxa" w:w="3213"/>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Financial entity</w:t>
            </w:r>
          </w:p>
        </w:tc>
        <w:tc>
          <w:tcPr>
            <w:tcW w:type="dxa" w:w="3213"/>
            <w:tcBorders>
              <w:top w:val="single" w:color="BBBBBB" w:sz="1"/>
              <w:left w:val="single" w:color="BBBBBB" w:sz="1"/>
              <w:bottom w:val="single" w:color="BBBBBB" w:sz="1"/>
              <w:right w:val="single" w:color="BBBBBB" w:sz="1"/>
            </w:tcBorders>
            <w:shd w:fill="F3F6FB" w:val="clear"/>
            <w:tcMar>
              <w:top w:type="dxa" w:w="60"/>
              <w:left w:type="dxa" w:w="110"/>
              <w:bottom w:type="dxa" w:w="60"/>
              <w:right w:type="dxa" w:w="110"/>
            </w:tcMar>
          </w:tcPr>
          <w:p>
            <w:pPr>
              <w:spacing w:after="0" w:line="250"/>
            </w:pPr>
            <w:r>
              <w:t xml:space="preserve">ICT third-party service provider</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IDD (Dir. 2016/97)</w:t>
            </w:r>
          </w:p>
        </w:tc>
        <w:tc>
          <w:tcPr>
            <w:tcW w:type="dxa" w:w="32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Insurance distributor (if advising/selling)</w:t>
            </w:r>
          </w:p>
        </w:tc>
        <w:tc>
          <w:tcPr>
            <w:tcW w:type="dxa" w:w="32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50"/>
            </w:pPr>
            <w:r>
              <w:t xml:space="preserve">Out of scope unless the assistant performs distribution acts</w:t>
            </w:r>
          </w:p>
        </w:tc>
      </w:tr>
    </w:tbl>
    <w:p>
      <w:pPr>
        <w:spacing w:after="60"/>
      </w:pPr>
      <w:r>
        <w:t xml:space="preserve"/>
      </w:r>
    </w:p>
    <w:p>
      <w:pPr>
        <w:pStyle w:val="Heading3"/>
      </w:pPr>
      <w:r>
        <w:t xml:space="preserve">A6.1 GDPR (Regulation (EU) 2016/679)</w:t>
      </w:r>
    </w:p>
    <w:p>
      <w:pPr>
        <w:spacing w:after="120" w:line="264"/>
        <w:jc w:val="both"/>
      </w:pPr>
      <w:r>
        <w:t xml:space="preserve">The Platform acts as processor; the Client is controller. The Platform processes personal data only on the Client’s documented instructions, supports data-subject rights, and maintains the technical and organisational measures in A5. Decisions producing legal or similarly significant effects are not taken on a solely automated basis: a human-review path is provided (GDPR Article 22).</w:t>
      </w:r>
    </w:p>
    <w:p>
      <w:pPr>
        <w:spacing w:after="120" w:line="264"/>
        <w:jc w:val="both"/>
      </w:pPr>
      <w:r>
        <w:rPr>
          <w:b/>
          <w:bCs/>
        </w:rPr>
        <w:t xml:space="preserve">Special-category data. </w:t>
      </w:r>
      <w:r>
        <w:t xml:space="preserve">Health and certain financial data are special-category data under GDPR Article 9 and require both an Article 6 lawful basis and a separate Article 9 condition (ordinarily explicit consent). The Platform captures explicit consent before any special-category processing and minimises such capture. In Cyprus, explicit consent for sensitive data must be unambiguous and express.</w:t>
      </w:r>
    </w:p>
    <w:p>
      <w:pPr>
        <w:pStyle w:val="Heading3"/>
      </w:pPr>
      <w:r>
        <w:t xml:space="preserve">A6.2 EU AI Act (Regulation (EU) 2024/1689)</w:t>
      </w:r>
    </w:p>
    <w:p>
      <w:pPr>
        <w:pStyle w:val="ListParagraph"/>
        <w:numPr>
          <w:ilvl w:val="0"/>
          <w:numId w:val="2"/>
        </w:numPr>
        <w:spacing w:after="70" w:line="260"/>
      </w:pPr>
      <w:r>
        <w:t xml:space="preserve">Transparency (Article 50): from 2 August 2026 the assistant must disclose to users that they are interacting with AI — this applies even where no personal data is processed. The Platform presents this disclosure at the start of every conversation, independently of Client scripting.</w:t>
      </w:r>
    </w:p>
    <w:p>
      <w:pPr>
        <w:pStyle w:val="ListParagraph"/>
        <w:numPr>
          <w:ilvl w:val="0"/>
          <w:numId w:val="2"/>
        </w:numPr>
        <w:spacing w:after="70" w:line="260"/>
      </w:pPr>
      <w:r>
        <w:t xml:space="preserve">High-risk (Annex III): AI for life/health insurance risk assessment and pricing is high-risk. The Platform excludes these use cases by design. The Digital Omnibus on AI, which would defer Annex III obligations to 2 December 2027, was provisionally agreed in May 2026 but is not yet adopted; the Platform therefore plans against the standing 2 August 2026 date until the amendment is published.</w:t>
      </w:r>
    </w:p>
    <w:p>
      <w:pPr>
        <w:pStyle w:val="ListParagraph"/>
        <w:numPr>
          <w:ilvl w:val="0"/>
          <w:numId w:val="2"/>
        </w:numPr>
        <w:spacing w:after="70" w:line="260"/>
      </w:pPr>
      <w:r>
        <w:t xml:space="preserve">Human oversight and AI literacy (Articles 14 and 4) are maintained as baseline measures.</w:t>
      </w:r>
    </w:p>
    <w:p>
      <w:pPr>
        <w:pStyle w:val="Heading3"/>
      </w:pPr>
      <w:r>
        <w:t xml:space="preserve">A6.3 DORA (Regulation (EU) 2022/2554)</w:t>
      </w:r>
    </w:p>
    <w:p>
      <w:pPr>
        <w:spacing w:after="120" w:line="264"/>
        <w:jc w:val="both"/>
      </w:pPr>
      <w:r>
        <w:t xml:space="preserve">Because the Platform supplies ICT services to financial-entity Clients, it is an ICT third-party service provider within the Client’s DORA perimeter (DORA has applied since 17 January 2025). The Platform offers contractual terms aligned to DORA Article 30, applied proportionately: the baseline terms of Article 30(2) for all engagements, and the enhanced terms of Article 30(3) where the service supports a Client’s critical or important function. The Platform supports inclusion in the Client’s Register of Information, data-location disclosure, incident assistance, and exit/portability.</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The Platform remains accountable for its own sub-processors, who must meet equivalent standards, but cannot impose bespoke DORA flow-down terms on large upstream providers (the engine and its model provider). This limitation must be disclosed to Clients and managed through sub-processor transparency, vendor certifications, and a robust exit path.</w:t>
      </w:r>
    </w:p>
    <w:p>
      <w:pPr>
        <w:pStyle w:val="Heading3"/>
      </w:pPr>
      <w:r>
        <w:t xml:space="preserve">A6.4 IDD (Directive (EU) 2016/97)</w:t>
      </w:r>
    </w:p>
    <w:p>
      <w:pPr>
        <w:spacing w:after="120" w:line="264"/>
        <w:jc w:val="both"/>
      </w:pPr>
      <w:r>
        <w:t xml:space="preserve">Where an assistant collects a customer’s details and recommends specific insurance products, it may perform acts of insurance distribution, engaging the demands-and-needs requirements of IDD Article 20 and related obligations. By default the Platform restricts assistants to non-distribution functions. Distribution features are enabled only where the Client attests that it is a registered insurance distributor and the corresponding demands-and-needs and disclosure steps are built into the flow. In Cyprus, insurance distribution is supervised by the Superintendent of Insurance under Law 38(I)/2016.</w:t>
      </w:r>
    </w:p>
    <w:p>
      <w:pPr>
        <w:pStyle w:val="Heading3"/>
      </w:pPr>
      <w:r>
        <w:t xml:space="preserve">A6.5 European Accessibility Act (Directive (EU) 2019/882)</w:t>
      </w:r>
    </w:p>
    <w:p>
      <w:pPr>
        <w:spacing w:after="120" w:line="264"/>
        <w:jc w:val="both"/>
      </w:pPr>
      <w:r>
        <w:t xml:space="preserve">Consumer-facing services, including customer-service chatbots in the financial sector, fall within the EAA, applicable since 28 June 2025. The Platform’s interface targets conformance with EN 301 549 / WCAG 2.1 Level AA and publishes an accessibility statement. A microenterprise exemption may apply to the Platform initially but does not relieve Client obligations.</w:t>
      </w:r>
    </w:p>
    <w:p>
      <w:pPr>
        <w:pStyle w:val="Heading3"/>
      </w:pPr>
      <w:r>
        <w:t xml:space="preserve">A6.6 International data transfers</w:t>
      </w:r>
    </w:p>
    <w:p>
      <w:pPr>
        <w:spacing w:after="120" w:line="264"/>
        <w:jc w:val="both"/>
      </w:pPr>
      <w:r>
        <w:t xml:space="preserve">Interactions are processed on infrastructure that includes the United States. On current evidence the engine provider relies on the EU Standard Contractual Clauses rather than the EU-US Data Privacy Framework; the Platform therefore relies on SCCs supported by a Transfer Impact Assessment and any necessary supplementary measures, and records data-processing locations per Client. EU data residency, where required, is addressed as a configuration/contractual matter.</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Confirm the engine provider’s and its model provider’s transfer mechanism (SCCs vs. DPF self-certification on dataprivacyframework.gov) and document a Transfer Impact Assessment before onboarding regulated Clients. Note that data hosted in an EU region of a US-headquartered provider may remain subject to US legal process (US CLOUD Act); assess concentration risk under DORA.</w:t>
      </w:r>
    </w:p>
    <w:p>
      <w:pPr>
        <w:pStyle w:val="Heading3"/>
      </w:pPr>
      <w:r>
        <w:t xml:space="preserve">A6.7 ePrivacy and NIS2</w:t>
      </w:r>
    </w:p>
    <w:p>
      <w:pPr>
        <w:spacing w:after="120" w:line="264"/>
        <w:jc w:val="both"/>
      </w:pPr>
      <w:r>
        <w:t xml:space="preserve">The chat interface uses strictly-necessary storage by default; non-essential cookies or analytics are used only with consent. NIS2 (Directive (EU) 2022/2555) may apply by size and sector, but entities exempted under DORA are outside NIS2 scope; applicability is to be confirmed with counsel.</w:t>
      </w:r>
    </w:p>
    <w:p>
      <w:pPr>
        <w:pStyle w:val="Heading2"/>
      </w:pPr>
      <w:r>
        <w:t xml:space="preserve">A7. Compliance-by-design controls</w:t>
      </w:r>
    </w:p>
    <w:p>
      <w:pPr>
        <w:spacing w:after="120" w:line="264"/>
        <w:jc w:val="both"/>
      </w:pPr>
      <w:r>
        <w:t xml:space="preserve">The following controls sit within the Laravel application, above the engine seam, so the compliance posture is independent of the underlying engine:</w:t>
      </w:r>
    </w:p>
    <w:p>
      <w:pPr>
        <w:pStyle w:val="ListParagraph"/>
        <w:numPr>
          <w:ilvl w:val="0"/>
          <w:numId w:val="2"/>
        </w:numPr>
        <w:spacing w:after="70" w:line="260"/>
      </w:pPr>
      <w:r>
        <w:t xml:space="preserve">Per-Client compliance configuration (controller identity, data region, distributor attestation, use-case classification, DPA acceptance, sub-processors).</w:t>
      </w:r>
    </w:p>
    <w:p>
      <w:pPr>
        <w:pStyle w:val="ListParagraph"/>
        <w:numPr>
          <w:ilvl w:val="0"/>
          <w:numId w:val="2"/>
        </w:numPr>
        <w:spacing w:after="70" w:line="260"/>
      </w:pPr>
      <w:r>
        <w:t xml:space="preserve">AI-disclosure mechanism (AI Act Article 50), independent of engine scripting.</w:t>
      </w:r>
    </w:p>
    <w:p>
      <w:pPr>
        <w:pStyle w:val="ListParagraph"/>
        <w:numPr>
          <w:ilvl w:val="0"/>
          <w:numId w:val="2"/>
        </w:numPr>
        <w:spacing w:after="70" w:line="260"/>
      </w:pPr>
      <w:r>
        <w:t xml:space="preserve">Consent records, including explicit consent for special-category data; versioned and revocable.</w:t>
      </w:r>
    </w:p>
    <w:p>
      <w:pPr>
        <w:pStyle w:val="ListParagraph"/>
        <w:numPr>
          <w:ilvl w:val="0"/>
          <w:numId w:val="2"/>
        </w:numPr>
        <w:spacing w:after="70" w:line="260"/>
      </w:pPr>
      <w:r>
        <w:t xml:space="preserve">Data-subject-request handling across the Platform’s records and the engine (including erasure).</w:t>
      </w:r>
    </w:p>
    <w:p>
      <w:pPr>
        <w:pStyle w:val="ListParagraph"/>
        <w:numPr>
          <w:ilvl w:val="0"/>
          <w:numId w:val="2"/>
        </w:numPr>
        <w:spacing w:after="70" w:line="260"/>
      </w:pPr>
      <w:r>
        <w:t xml:space="preserve">Append-only audit log serving GDPR Article 30, AI Act record-keeping, and DORA evidence.</w:t>
      </w:r>
    </w:p>
    <w:p>
      <w:pPr>
        <w:pStyle w:val="ListParagraph"/>
        <w:numPr>
          <w:ilvl w:val="0"/>
          <w:numId w:val="2"/>
        </w:numPr>
        <w:spacing w:after="70" w:line="260"/>
      </w:pPr>
      <w:r>
        <w:t xml:space="preserve">Human-oversight escalation path; use-case guardrail blocking high-risk and unattested-distribution flows.</w:t>
      </w:r>
    </w:p>
    <w:p>
      <w:pPr>
        <w:pStyle w:val="ListParagraph"/>
        <w:numPr>
          <w:ilvl w:val="0"/>
          <w:numId w:val="2"/>
        </w:numPr>
        <w:spacing w:after="70" w:line="260"/>
      </w:pPr>
      <w:r>
        <w:t xml:space="preserve">Incident and breach runbook with Client notification meeting DORA reporting and the GDPR 72-hour timeline.</w:t>
      </w:r>
    </w:p>
    <w:p>
      <w:pPr>
        <w:pStyle w:val="ListParagraph"/>
        <w:numPr>
          <w:ilvl w:val="0"/>
          <w:numId w:val="2"/>
        </w:numPr>
        <w:spacing w:after="70" w:line="260"/>
      </w:pPr>
      <w:r>
        <w:t xml:space="preserve">Exit/portability export; data-residency configuration; sub-processor transparency record; transfer/TIA register.</w:t>
      </w:r>
    </w:p>
    <w:p>
      <w:pPr>
        <w:pStyle w:val="Heading2"/>
      </w:pPr>
      <w:r>
        <w:t xml:space="preserve">A8. Accuracy, liability and assurance</w:t>
      </w:r>
    </w:p>
    <w:p>
      <w:pPr>
        <w:spacing w:after="120" w:line="264"/>
        <w:jc w:val="both"/>
      </w:pPr>
      <w:r>
        <w:t xml:space="preserve">Assistant responses are grounded in Client-approved knowledge sources; the Platform does not warrant that automated responses constitute advice, routes binding or financial questions to a human, and conducts ongoing evaluation and testing. The Platform maintains, or will maintain, professional indemnity insurance, and the Terms of Service set liability caps and accuracy disclaimers.</w:t>
      </w:r>
    </w:p>
    <w:p>
      <w:pPr>
        <w:pStyle w:val="Heading2"/>
      </w:pPr>
      <w:r>
        <w:t xml:space="preserve">A9. Governing authorities (Cyprus)</w:t>
      </w:r>
    </w:p>
    <w:p>
      <w:pPr>
        <w:pStyle w:val="ListParagraph"/>
        <w:numPr>
          <w:ilvl w:val="0"/>
          <w:numId w:val="2"/>
        </w:numPr>
        <w:spacing w:after="70" w:line="260"/>
      </w:pPr>
      <w:r>
        <w:t xml:space="preserve">Data protection: Commissioner for the Protection of Personal Data, Nicosia (Law 125(I)/2018 supplementing the GDPR).</w:t>
      </w:r>
    </w:p>
    <w:p>
      <w:pPr>
        <w:pStyle w:val="ListParagraph"/>
        <w:numPr>
          <w:ilvl w:val="0"/>
          <w:numId w:val="2"/>
        </w:numPr>
        <w:spacing w:after="70" w:line="260"/>
      </w:pPr>
      <w:r>
        <w:t xml:space="preserve">Insurance and distribution: Superintendent of Insurance, Insurance Companies Control Service, Ministry of Finance (Law 38(I)/2016).</w:t>
      </w:r>
    </w:p>
    <w:p>
      <w:r>
        <w:br w:type="page"/>
      </w:r>
    </w:p>
    <w:p>
      <w:pPr>
        <w:pStyle w:val="Heading1"/>
      </w:pPr>
      <w:r>
        <w:t xml:space="preserve">Part B — Contract Templates</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The following are drafting templates only. They are not complete, executable contracts and omit jurisdiction-specific and commercial provisions. They must be completed, tailored, and reviewed by qualified Cyprus/EU counsel before use.</w:t>
      </w:r>
    </w:p>
    <w:p>
      <w:pPr>
        <w:pStyle w:val="Heading2"/>
      </w:pPr>
      <w:r>
        <w:t xml:space="preserve">Schedule 1 — Data Processing Agreement (GDPR Article 28)</w:t>
      </w:r>
    </w:p>
    <w:p>
      <w:pPr>
        <w:spacing w:after="120" w:line="264"/>
        <w:jc w:val="both"/>
      </w:pPr>
      <w:r>
        <w:t xml:space="preserve">This Data Processing Agreement (“DPA”) forms part of the agreement between [Company Name] Ltd (“Processor”) and the Client (“Controller”) and governs processing of personal data by the Processor on the Controller’s behalf. It is structured to satisfy Article 28(3) of the GDPR.</w:t>
      </w:r>
    </w:p>
    <w:p>
      <w:pPr>
        <w:spacing w:after="60" w:before="160"/>
      </w:pPr>
      <w:r>
        <w:rPr>
          <w:b/>
          <w:bCs/>
          <w:sz w:val="22"/>
          <w:szCs w:val="22"/>
        </w:rPr>
        <w:t xml:space="preserve">1.  </w:t>
      </w:r>
      <w:r>
        <w:rPr>
          <w:b/>
          <w:bCs/>
          <w:sz w:val="22"/>
          <w:szCs w:val="22"/>
        </w:rPr>
        <w:t xml:space="preserve">Definitions</w:t>
      </w:r>
    </w:p>
    <w:p>
      <w:pPr>
        <w:spacing w:after="120" w:line="264"/>
        <w:jc w:val="both"/>
      </w:pPr>
      <w:r>
        <w:t xml:space="preserve">Terms such as “personal data”, “processing”, “controller”, “processor”, “data subject”, and “supervisory authority” have the meanings given in the GDPR. “Applicable Data Protection Law” means the GDPR and Cyprus Law 125(I)/2018, and any successor or supplementary law.</w:t>
      </w:r>
    </w:p>
    <w:p>
      <w:pPr>
        <w:spacing w:after="60" w:before="160"/>
      </w:pPr>
      <w:r>
        <w:rPr>
          <w:b/>
          <w:bCs/>
          <w:sz w:val="22"/>
          <w:szCs w:val="22"/>
        </w:rPr>
        <w:t xml:space="preserve">2.  </w:t>
      </w:r>
      <w:r>
        <w:rPr>
          <w:b/>
          <w:bCs/>
          <w:sz w:val="22"/>
          <w:szCs w:val="22"/>
        </w:rPr>
        <w:t xml:space="preserve">Subject-matter, duration, nature and purpose</w:t>
      </w:r>
    </w:p>
    <w:p>
      <w:pPr>
        <w:spacing w:after="120" w:line="264"/>
        <w:jc w:val="both"/>
      </w:pPr>
      <w:r>
        <w:t xml:space="preserve">The Processor processes personal data solely to provide the Platform services described in the agreement, for its duration. The nature and purpose, types of personal data, and categories of data subjects are set out in Annex 1 to this Schedule.</w:t>
      </w:r>
    </w:p>
    <w:p>
      <w:pPr>
        <w:spacing w:after="60" w:before="160"/>
      </w:pPr>
      <w:r>
        <w:rPr>
          <w:b/>
          <w:bCs/>
          <w:sz w:val="22"/>
          <w:szCs w:val="22"/>
        </w:rPr>
        <w:t xml:space="preserve">3.  </w:t>
      </w:r>
      <w:r>
        <w:rPr>
          <w:b/>
          <w:bCs/>
          <w:sz w:val="22"/>
          <w:szCs w:val="22"/>
        </w:rPr>
        <w:t xml:space="preserve">Processing on documented instructions</w:t>
      </w:r>
    </w:p>
    <w:p>
      <w:pPr>
        <w:spacing w:after="120" w:line="264"/>
        <w:jc w:val="both"/>
      </w:pPr>
      <w:r>
        <w:t xml:space="preserve">The Processor processes personal data only on the Controller’s documented instructions, including as to international transfers, unless required by Union or Member State law, in which case the Processor informs the Controller unless legally prohibited. [Art. 28(3)(a)]</w:t>
      </w:r>
    </w:p>
    <w:p>
      <w:pPr>
        <w:spacing w:after="60" w:before="160"/>
      </w:pPr>
      <w:r>
        <w:rPr>
          <w:b/>
          <w:bCs/>
          <w:sz w:val="22"/>
          <w:szCs w:val="22"/>
        </w:rPr>
        <w:t xml:space="preserve">4.  </w:t>
      </w:r>
      <w:r>
        <w:rPr>
          <w:b/>
          <w:bCs/>
          <w:sz w:val="22"/>
          <w:szCs w:val="22"/>
        </w:rPr>
        <w:t xml:space="preserve">Confidentiality</w:t>
      </w:r>
    </w:p>
    <w:p>
      <w:pPr>
        <w:spacing w:after="120" w:line="264"/>
        <w:jc w:val="both"/>
      </w:pPr>
      <w:r>
        <w:t xml:space="preserve">The Processor ensures that persons authorised to process personal data are bound by confidentiality. [Art. 28(3)(b)]</w:t>
      </w:r>
    </w:p>
    <w:p>
      <w:pPr>
        <w:spacing w:after="60" w:before="160"/>
      </w:pPr>
      <w:r>
        <w:rPr>
          <w:b/>
          <w:bCs/>
          <w:sz w:val="22"/>
          <w:szCs w:val="22"/>
        </w:rPr>
        <w:t xml:space="preserve">5.  </w:t>
      </w:r>
      <w:r>
        <w:rPr>
          <w:b/>
          <w:bCs/>
          <w:sz w:val="22"/>
          <w:szCs w:val="22"/>
        </w:rPr>
        <w:t xml:space="preserve">Security of processing</w:t>
      </w:r>
    </w:p>
    <w:p>
      <w:pPr>
        <w:spacing w:after="120" w:line="264"/>
        <w:jc w:val="both"/>
      </w:pPr>
      <w:r>
        <w:t xml:space="preserve">The Processor implements the technical and organisational measures described in Annex 2 to ensure a level of security appropriate to the risk, in accordance with Article 32. [Art. 28(3)(c)]</w:t>
      </w:r>
    </w:p>
    <w:p>
      <w:pPr>
        <w:spacing w:after="60" w:before="160"/>
      </w:pPr>
      <w:r>
        <w:rPr>
          <w:b/>
          <w:bCs/>
          <w:sz w:val="22"/>
          <w:szCs w:val="22"/>
        </w:rPr>
        <w:t xml:space="preserve">6.  </w:t>
      </w:r>
      <w:r>
        <w:rPr>
          <w:b/>
          <w:bCs/>
          <w:sz w:val="22"/>
          <w:szCs w:val="22"/>
        </w:rPr>
        <w:t xml:space="preserve">Sub-processors</w:t>
      </w:r>
    </w:p>
    <w:p>
      <w:pPr>
        <w:spacing w:after="90" w:line="260"/>
        <w:ind w:left="360"/>
        <w:jc w:val="both"/>
      </w:pPr>
      <w:r>
        <w:rPr>
          <w:b/>
          <w:bCs/>
        </w:rPr>
        <w:t xml:space="preserve">(a) </w:t>
      </w:r>
      <w:r>
        <w:t xml:space="preserve">The Controller provides general authorisation for the Processor to engage sub-processors, including the conversation engine provider and its model provider, listed in Annex 3.</w:t>
      </w:r>
    </w:p>
    <w:p>
      <w:pPr>
        <w:spacing w:after="90" w:line="260"/>
        <w:ind w:left="360"/>
        <w:jc w:val="both"/>
      </w:pPr>
      <w:r>
        <w:rPr>
          <w:b/>
          <w:bCs/>
        </w:rPr>
        <w:t xml:space="preserve">(b) </w:t>
      </w:r>
      <w:r>
        <w:t xml:space="preserve">The Processor informs the Controller of intended changes to sub-processors and gives the Controller the opportunity to object.</w:t>
      </w:r>
    </w:p>
    <w:p>
      <w:pPr>
        <w:spacing w:after="90" w:line="260"/>
        <w:ind w:left="360"/>
        <w:jc w:val="both"/>
      </w:pPr>
      <w:r>
        <w:rPr>
          <w:b/>
          <w:bCs/>
        </w:rPr>
        <w:t xml:space="preserve">(c) </w:t>
      </w:r>
      <w:r>
        <w:t xml:space="preserve">The Processor imposes data-protection obligations on each sub-processor equivalent to those in this DPA and remains liable for sub-processor performance. [Art. 28(2),(4)]</w:t>
      </w:r>
    </w:p>
    <w:p>
      <w:pPr>
        <w:spacing w:after="60" w:before="160"/>
      </w:pPr>
      <w:r>
        <w:rPr>
          <w:b/>
          <w:bCs/>
          <w:sz w:val="22"/>
          <w:szCs w:val="22"/>
        </w:rPr>
        <w:t xml:space="preserve">7.  </w:t>
      </w:r>
      <w:r>
        <w:rPr>
          <w:b/>
          <w:bCs/>
          <w:sz w:val="22"/>
          <w:szCs w:val="22"/>
        </w:rPr>
        <w:t xml:space="preserve">Assistance with data-subject rights</w:t>
      </w:r>
    </w:p>
    <w:p>
      <w:pPr>
        <w:spacing w:after="120" w:line="264"/>
        <w:jc w:val="both"/>
      </w:pPr>
      <w:r>
        <w:t xml:space="preserve">Taking account of the nature of the processing, the Processor assists the Controller by appropriate measures in responding to data-subject requests under Chapter III of the GDPR. [Art. 28(3)(e)]</w:t>
      </w:r>
    </w:p>
    <w:p>
      <w:pPr>
        <w:spacing w:after="60" w:before="160"/>
      </w:pPr>
      <w:r>
        <w:rPr>
          <w:b/>
          <w:bCs/>
          <w:sz w:val="22"/>
          <w:szCs w:val="22"/>
        </w:rPr>
        <w:t xml:space="preserve">8.  </w:t>
      </w:r>
      <w:r>
        <w:rPr>
          <w:b/>
          <w:bCs/>
          <w:sz w:val="22"/>
          <w:szCs w:val="22"/>
        </w:rPr>
        <w:t xml:space="preserve">Assistance with security, breach and impact assessments</w:t>
      </w:r>
    </w:p>
    <w:p>
      <w:pPr>
        <w:spacing w:after="120" w:line="264"/>
        <w:jc w:val="both"/>
      </w:pPr>
      <w:r>
        <w:t xml:space="preserve">The Processor assists the Controller in ensuring compliance with Articles 32 to 36, including notifying the Controller without undue delay after becoming aware of a personal-data breach, and assisting with data protection impact assessments. [Art. 28(3)(f)]</w:t>
      </w:r>
    </w:p>
    <w:p>
      <w:pPr>
        <w:spacing w:after="60" w:before="160"/>
      </w:pPr>
      <w:r>
        <w:rPr>
          <w:b/>
          <w:bCs/>
          <w:sz w:val="22"/>
          <w:szCs w:val="22"/>
        </w:rPr>
        <w:t xml:space="preserve">9.  </w:t>
      </w:r>
      <w:r>
        <w:rPr>
          <w:b/>
          <w:bCs/>
          <w:sz w:val="22"/>
          <w:szCs w:val="22"/>
        </w:rPr>
        <w:t xml:space="preserve">Return or deletion</w:t>
      </w:r>
    </w:p>
    <w:p>
      <w:pPr>
        <w:spacing w:after="120" w:line="264"/>
        <w:jc w:val="both"/>
      </w:pPr>
      <w:r>
        <w:t xml:space="preserve">At the Controller’s choice, the Processor deletes or returns all personal data after the end of the provision of services and deletes existing copies unless storage is required by law. [Art. 28(3)(g)]</w:t>
      </w:r>
    </w:p>
    <w:p>
      <w:pPr>
        <w:spacing w:after="60" w:before="160"/>
      </w:pPr>
      <w:r>
        <w:rPr>
          <w:b/>
          <w:bCs/>
          <w:sz w:val="22"/>
          <w:szCs w:val="22"/>
        </w:rPr>
        <w:t xml:space="preserve">10.  </w:t>
      </w:r>
      <w:r>
        <w:rPr>
          <w:b/>
          <w:bCs/>
          <w:sz w:val="22"/>
          <w:szCs w:val="22"/>
        </w:rPr>
        <w:t xml:space="preserve">Audits and information</w:t>
      </w:r>
    </w:p>
    <w:p>
      <w:pPr>
        <w:spacing w:after="120" w:line="264"/>
        <w:jc w:val="both"/>
      </w:pPr>
      <w:r>
        <w:t xml:space="preserve">The Processor makes available to the Controller information necessary to demonstrate compliance with Article 28 and allows for and contributes to audits, including inspections, conducted by the Controller or an auditor it mandates. [Art. 28(3)(h)]</w:t>
      </w:r>
    </w:p>
    <w:p>
      <w:pPr>
        <w:spacing w:after="60" w:before="160"/>
      </w:pPr>
      <w:r>
        <w:rPr>
          <w:b/>
          <w:bCs/>
          <w:sz w:val="22"/>
          <w:szCs w:val="22"/>
        </w:rPr>
        <w:t xml:space="preserve">11.  </w:t>
      </w:r>
      <w:r>
        <w:rPr>
          <w:b/>
          <w:bCs/>
          <w:sz w:val="22"/>
          <w:szCs w:val="22"/>
        </w:rPr>
        <w:t xml:space="preserve">International transfers</w:t>
      </w:r>
    </w:p>
    <w:p>
      <w:pPr>
        <w:spacing w:after="120" w:line="264"/>
        <w:jc w:val="both"/>
      </w:pPr>
      <w:r>
        <w:t xml:space="preserve">Where personal data is transferred outside the EEA, the Processor ensures appropriate safeguards under Chapter V of the GDPR, principally the Standard Contractual Clauses supported by a Transfer Impact Assessment, as recorded in Annex 3.</w:t>
      </w:r>
    </w:p>
    <w:p>
      <w:pPr>
        <w:spacing w:after="60" w:before="160"/>
      </w:pPr>
      <w:r>
        <w:rPr>
          <w:b/>
          <w:bCs/>
          <w:sz w:val="22"/>
          <w:szCs w:val="22"/>
        </w:rPr>
        <w:t xml:space="preserve">12.  </w:t>
      </w:r>
      <w:r>
        <w:rPr>
          <w:b/>
          <w:bCs/>
          <w:sz w:val="22"/>
          <w:szCs w:val="22"/>
        </w:rPr>
        <w:t xml:space="preserve">Special-category data</w:t>
      </w:r>
    </w:p>
    <w:p>
      <w:pPr>
        <w:spacing w:after="120" w:line="264"/>
        <w:jc w:val="both"/>
      </w:pPr>
      <w:r>
        <w:t xml:space="preserve">Where the services involve special-category data (Article 9), the Controller is responsible for establishing the Article 9 condition; the Platform supports explicit-consent capture and applies enhanced safeguards.</w:t>
      </w:r>
    </w:p>
    <w:p>
      <w:pPr>
        <w:spacing w:after="120" w:line="264"/>
        <w:jc w:val="both"/>
      </w:pPr>
      <w:r>
        <w:rPr>
          <w:b/>
          <w:bCs/>
        </w:rPr>
        <w:t xml:space="preserve">Annex 1 — Processing details: </w:t>
      </w:r>
      <w:r>
        <w:t xml:space="preserve">[subject-matter; duration; nature/purpose; types of personal data; categories of data subjects].</w:t>
      </w:r>
    </w:p>
    <w:p>
      <w:pPr>
        <w:spacing w:after="120" w:line="264"/>
        <w:jc w:val="both"/>
      </w:pPr>
      <w:r>
        <w:rPr>
          <w:b/>
          <w:bCs/>
        </w:rPr>
        <w:t xml:space="preserve">Annex 2 — Security measures: </w:t>
      </w:r>
      <w:r>
        <w:t xml:space="preserve">[the technical and organisational measures actually implemented — see Part A, A5].</w:t>
      </w:r>
    </w:p>
    <w:p>
      <w:pPr>
        <w:spacing w:after="120" w:line="264"/>
        <w:jc w:val="both"/>
      </w:pPr>
      <w:r>
        <w:rPr>
          <w:b/>
          <w:bCs/>
        </w:rPr>
        <w:t xml:space="preserve">Annex 3 — Sub-processors &amp; transfers: </w:t>
      </w:r>
      <w:r>
        <w:t xml:space="preserve">[current sub-processor list, locations, and transfer mechanism (SCCs + TIA)].</w:t>
      </w:r>
    </w:p>
    <w:p>
      <w:r>
        <w:br w:type="page"/>
      </w:r>
    </w:p>
    <w:p>
      <w:pPr>
        <w:pStyle w:val="Heading2"/>
      </w:pPr>
      <w:r>
        <w:t xml:space="preserve">Schedule 2 — Terms of Service (Platform)</w:t>
      </w:r>
    </w:p>
    <w:p>
      <w:pPr>
        <w:spacing w:after="120" w:line="264"/>
        <w:jc w:val="both"/>
      </w:pPr>
      <w:r>
        <w:t xml:space="preserve">These Terms of Service (“Terms”) govern the Client’s use of the Platform. They incorporate the DPA (Schedule 1) and, where applicable, the DORA contractual addendum (Schedule 3).</w:t>
      </w:r>
    </w:p>
    <w:p>
      <w:pPr>
        <w:spacing w:after="60" w:before="160"/>
      </w:pPr>
      <w:r>
        <w:rPr>
          <w:b/>
          <w:bCs/>
          <w:sz w:val="22"/>
          <w:szCs w:val="22"/>
        </w:rPr>
        <w:t xml:space="preserve">1.  </w:t>
      </w:r>
      <w:r>
        <w:rPr>
          <w:b/>
          <w:bCs/>
          <w:sz w:val="22"/>
          <w:szCs w:val="22"/>
        </w:rPr>
        <w:t xml:space="preserve">Definitions and interpretation</w:t>
      </w:r>
    </w:p>
    <w:p>
      <w:pPr>
        <w:spacing w:after="120" w:line="264"/>
        <w:jc w:val="both"/>
      </w:pPr>
      <w:r>
        <w:t xml:space="preserve">[Define Platform, Assistant, Client, End-User, Credits, Order Form, Documentation, etc.]</w:t>
      </w:r>
    </w:p>
    <w:p>
      <w:pPr>
        <w:spacing w:after="60" w:before="160"/>
      </w:pPr>
      <w:r>
        <w:rPr>
          <w:b/>
          <w:bCs/>
          <w:sz w:val="22"/>
          <w:szCs w:val="22"/>
        </w:rPr>
        <w:t xml:space="preserve">2.  </w:t>
      </w:r>
      <w:r>
        <w:rPr>
          <w:b/>
          <w:bCs/>
          <w:sz w:val="22"/>
          <w:szCs w:val="22"/>
        </w:rPr>
        <w:t xml:space="preserve">The service</w:t>
      </w:r>
    </w:p>
    <w:p>
      <w:pPr>
        <w:spacing w:after="120" w:line="264"/>
        <w:jc w:val="both"/>
      </w:pPr>
      <w:r>
        <w:t xml:space="preserve">The Platform provides the Client a white-label AI assistant for the permitted use cases. The Platform may use sub-processors (Schedule 1, Annex 3). The Platform provides the service with reasonable skill and care and in accordance with the Documentation and applicable service levels [Schedule 3 / SLA].</w:t>
      </w:r>
    </w:p>
    <w:p>
      <w:pPr>
        <w:spacing w:after="60" w:before="160"/>
      </w:pPr>
      <w:r>
        <w:rPr>
          <w:b/>
          <w:bCs/>
          <w:sz w:val="22"/>
          <w:szCs w:val="22"/>
        </w:rPr>
        <w:t xml:space="preserve">3.  </w:t>
      </w:r>
      <w:r>
        <w:rPr>
          <w:b/>
          <w:bCs/>
          <w:sz w:val="22"/>
          <w:szCs w:val="22"/>
        </w:rPr>
        <w:t xml:space="preserve">Permitted use and restrictions</w:t>
      </w:r>
    </w:p>
    <w:p>
      <w:pPr>
        <w:spacing w:after="90" w:line="260"/>
        <w:ind w:left="360"/>
        <w:jc w:val="both"/>
      </w:pPr>
      <w:r>
        <w:rPr>
          <w:b/>
          <w:bCs/>
        </w:rPr>
        <w:t xml:space="preserve">(a) </w:t>
      </w:r>
      <w:r>
        <w:t xml:space="preserve">The Client uses the Platform only for lawful, non-distribution insurance use cases (customer service, claims intake, policy Q&amp;A, lead qualification), unless distribution features are expressly enabled under clause 4.</w:t>
      </w:r>
    </w:p>
    <w:p>
      <w:pPr>
        <w:spacing w:after="90" w:line="260"/>
        <w:ind w:left="360"/>
        <w:jc w:val="both"/>
      </w:pPr>
      <w:r>
        <w:rPr>
          <w:b/>
          <w:bCs/>
        </w:rPr>
        <w:t xml:space="preserve">(b) </w:t>
      </w:r>
      <w:r>
        <w:t xml:space="preserve">The Client must not use the Platform for life/health insurance risk assessment, pricing, or underwriting, or for any high-risk use under the EU AI Act, without the Platform’s prior written agreement and the additional controls required by law.</w:t>
      </w:r>
    </w:p>
    <w:p>
      <w:pPr>
        <w:spacing w:after="60" w:before="160"/>
      </w:pPr>
      <w:r>
        <w:rPr>
          <w:b/>
          <w:bCs/>
          <w:sz w:val="22"/>
          <w:szCs w:val="22"/>
        </w:rPr>
        <w:t xml:space="preserve">4.  </w:t>
      </w:r>
      <w:r>
        <w:rPr>
          <w:b/>
          <w:bCs/>
          <w:sz w:val="22"/>
          <w:szCs w:val="22"/>
        </w:rPr>
        <w:t xml:space="preserve">Insurance distribution (IDD)</w:t>
      </w:r>
    </w:p>
    <w:p>
      <w:pPr>
        <w:spacing w:after="120" w:line="264"/>
        <w:jc w:val="both"/>
      </w:pPr>
      <w:r>
        <w:t xml:space="preserve">If the Client wishes to enable product-recommendation features, the Client warrants that it is a duly registered insurance distributor and remains solely responsible for compliance with the IDD and Cyprus Law 38(I)/2016, including the demands-and-needs assessment and required disclosures.</w:t>
      </w:r>
    </w:p>
    <w:p>
      <w:pPr>
        <w:spacing w:after="60" w:before="160"/>
      </w:pPr>
      <w:r>
        <w:rPr>
          <w:b/>
          <w:bCs/>
          <w:sz w:val="22"/>
          <w:szCs w:val="22"/>
        </w:rPr>
        <w:t xml:space="preserve">5.  </w:t>
      </w:r>
      <w:r>
        <w:rPr>
          <w:b/>
          <w:bCs/>
          <w:sz w:val="22"/>
          <w:szCs w:val="22"/>
        </w:rPr>
        <w:t xml:space="preserve">AI transparency and human oversight</w:t>
      </w:r>
    </w:p>
    <w:p>
      <w:pPr>
        <w:spacing w:after="120" w:line="264"/>
        <w:jc w:val="both"/>
      </w:pPr>
      <w:r>
        <w:t xml:space="preserve">The Client acknowledges that the assistant is an AI system; the Platform discloses this to End-Users (AI Act Article 50) and provides a human-escalation path. The Client must not represent the assistant as a human.</w:t>
      </w:r>
    </w:p>
    <w:p>
      <w:pPr>
        <w:spacing w:after="60" w:before="160"/>
      </w:pPr>
      <w:r>
        <w:rPr>
          <w:b/>
          <w:bCs/>
          <w:sz w:val="22"/>
          <w:szCs w:val="22"/>
        </w:rPr>
        <w:t xml:space="preserve">6.  </w:t>
      </w:r>
      <w:r>
        <w:rPr>
          <w:b/>
          <w:bCs/>
          <w:sz w:val="22"/>
          <w:szCs w:val="22"/>
        </w:rPr>
        <w:t xml:space="preserve">Fees, Credits and billing</w:t>
      </w:r>
    </w:p>
    <w:p>
      <w:pPr>
        <w:spacing w:after="90" w:line="260"/>
        <w:ind w:left="360"/>
        <w:jc w:val="both"/>
      </w:pPr>
      <w:r>
        <w:rPr>
          <w:b/>
          <w:bCs/>
        </w:rPr>
        <w:t xml:space="preserve">(a) </w:t>
      </w:r>
      <w:r>
        <w:t xml:space="preserve">The Client purchases Credits and the Platform meters usage per interaction; pricing and any auto-replenishment are set out in the Order Form.</w:t>
      </w:r>
    </w:p>
    <w:p>
      <w:pPr>
        <w:spacing w:after="90" w:line="260"/>
        <w:ind w:left="360"/>
        <w:jc w:val="both"/>
      </w:pPr>
      <w:r>
        <w:rPr>
          <w:b/>
          <w:bCs/>
        </w:rPr>
        <w:t xml:space="preserve">(b) </w:t>
      </w:r>
      <w:r>
        <w:t xml:space="preserve">Per-Client usage limits apply; the Platform may suspend service on limit exhaustion or non-payment, subject to notice.</w:t>
      </w:r>
    </w:p>
    <w:p>
      <w:pPr>
        <w:spacing w:after="60" w:before="160"/>
      </w:pPr>
      <w:r>
        <w:rPr>
          <w:b/>
          <w:bCs/>
          <w:sz w:val="22"/>
          <w:szCs w:val="22"/>
        </w:rPr>
        <w:t xml:space="preserve">7.  </w:t>
      </w:r>
      <w:r>
        <w:rPr>
          <w:b/>
          <w:bCs/>
          <w:sz w:val="22"/>
          <w:szCs w:val="22"/>
        </w:rPr>
        <w:t xml:space="preserve">Data protection</w:t>
      </w:r>
    </w:p>
    <w:p>
      <w:pPr>
        <w:spacing w:after="120" w:line="264"/>
        <w:jc w:val="both"/>
      </w:pPr>
      <w:r>
        <w:t xml:space="preserve">The parties comply with the DPA (Schedule 1). The Client is controller; the Platform is processor.</w:t>
      </w:r>
    </w:p>
    <w:p>
      <w:pPr>
        <w:spacing w:after="60" w:before="160"/>
      </w:pPr>
      <w:r>
        <w:rPr>
          <w:b/>
          <w:bCs/>
          <w:sz w:val="22"/>
          <w:szCs w:val="22"/>
        </w:rPr>
        <w:t xml:space="preserve">8.  </w:t>
      </w:r>
      <w:r>
        <w:rPr>
          <w:b/>
          <w:bCs/>
          <w:sz w:val="22"/>
          <w:szCs w:val="22"/>
        </w:rPr>
        <w:t xml:space="preserve">Accuracy disclaimer and warranties</w:t>
      </w:r>
    </w:p>
    <w:p>
      <w:pPr>
        <w:spacing w:after="120" w:line="264"/>
        <w:jc w:val="both"/>
      </w:pPr>
      <w:r>
        <w:t xml:space="preserve">Assistant responses are generated by AI and may contain errors; they do not constitute legal, financial, or insurance advice. The Platform does not warrant uninterrupted or error-free operation. Save as expressly stated, all warranties implied by law are excluded to the extent permitted.</w:t>
      </w:r>
    </w:p>
    <w:p>
      <w:pPr>
        <w:spacing w:after="60" w:before="160"/>
      </w:pPr>
      <w:r>
        <w:rPr>
          <w:b/>
          <w:bCs/>
          <w:sz w:val="22"/>
          <w:szCs w:val="22"/>
        </w:rPr>
        <w:t xml:space="preserve">9.  </w:t>
      </w:r>
      <w:r>
        <w:rPr>
          <w:b/>
          <w:bCs/>
          <w:sz w:val="22"/>
          <w:szCs w:val="22"/>
        </w:rPr>
        <w:t xml:space="preserve">Limitation of liability</w:t>
      </w:r>
    </w:p>
    <w:p>
      <w:pPr>
        <w:spacing w:after="120" w:line="264"/>
        <w:jc w:val="both"/>
      </w:pPr>
      <w:r>
        <w:t xml:space="preserve">[Liability cap — e.g., fees paid in the preceding 12 months]; exclusion of indirect and consequential loss; carve-outs for matters that cannot be limited by law (e.g., death/personal injury, fraud). [Confirm with counsel and align to PI insurance cover.]</w:t>
      </w:r>
    </w:p>
    <w:p>
      <w:pPr>
        <w:spacing w:after="60" w:before="160"/>
      </w:pPr>
      <w:r>
        <w:rPr>
          <w:b/>
          <w:bCs/>
          <w:sz w:val="22"/>
          <w:szCs w:val="22"/>
        </w:rPr>
        <w:t xml:space="preserve">10.  </w:t>
      </w:r>
      <w:r>
        <w:rPr>
          <w:b/>
          <w:bCs/>
          <w:sz w:val="22"/>
          <w:szCs w:val="22"/>
        </w:rPr>
        <w:t xml:space="preserve">Confidentiality and intellectual property</w:t>
      </w:r>
    </w:p>
    <w:p>
      <w:pPr>
        <w:spacing w:after="120" w:line="264"/>
        <w:jc w:val="both"/>
      </w:pPr>
      <w:r>
        <w:t xml:space="preserve">Each party protects the other’s confidential information. The Platform retains all IP in the Platform; the Client retains its data and brand assets and grants the Platform a licence to use them to provide the service.</w:t>
      </w:r>
    </w:p>
    <w:p>
      <w:pPr>
        <w:spacing w:after="60" w:before="160"/>
      </w:pPr>
      <w:r>
        <w:rPr>
          <w:b/>
          <w:bCs/>
          <w:sz w:val="22"/>
          <w:szCs w:val="22"/>
        </w:rPr>
        <w:t xml:space="preserve">11.  </w:t>
      </w:r>
      <w:r>
        <w:rPr>
          <w:b/>
          <w:bCs/>
          <w:sz w:val="22"/>
          <w:szCs w:val="22"/>
        </w:rPr>
        <w:t xml:space="preserve">Term, suspension and termination</w:t>
      </w:r>
    </w:p>
    <w:p>
      <w:pPr>
        <w:spacing w:after="120" w:line="264"/>
        <w:jc w:val="both"/>
      </w:pPr>
      <w:r>
        <w:t xml:space="preserve">[Term, renewal, termination for cause/convenience, effects of termination.]</w:t>
      </w:r>
    </w:p>
    <w:p>
      <w:pPr>
        <w:spacing w:after="60" w:before="160"/>
      </w:pPr>
      <w:r>
        <w:rPr>
          <w:b/>
          <w:bCs/>
          <w:sz w:val="22"/>
          <w:szCs w:val="22"/>
        </w:rPr>
        <w:t xml:space="preserve">12.  </w:t>
      </w:r>
      <w:r>
        <w:rPr>
          <w:b/>
          <w:bCs/>
          <w:sz w:val="22"/>
          <w:szCs w:val="22"/>
        </w:rPr>
        <w:t xml:space="preserve">Exit and portability (DORA)</w:t>
      </w:r>
    </w:p>
    <w:p>
      <w:pPr>
        <w:spacing w:after="120" w:line="264"/>
        <w:jc w:val="both"/>
      </w:pPr>
      <w:r>
        <w:t xml:space="preserve">On termination the Platform provides reasonable exit assistance, returns or deletes Client data per the DPA, and supports portability, consistent with DORA Article 30.</w:t>
      </w:r>
    </w:p>
    <w:p>
      <w:pPr>
        <w:spacing w:after="60" w:before="160"/>
      </w:pPr>
      <w:r>
        <w:rPr>
          <w:b/>
          <w:bCs/>
          <w:sz w:val="22"/>
          <w:szCs w:val="22"/>
        </w:rPr>
        <w:t xml:space="preserve">13.  </w:t>
      </w:r>
      <w:r>
        <w:rPr>
          <w:b/>
          <w:bCs/>
          <w:sz w:val="22"/>
          <w:szCs w:val="22"/>
        </w:rPr>
        <w:t xml:space="preserve">Accessibility</w:t>
      </w:r>
    </w:p>
    <w:p>
      <w:pPr>
        <w:spacing w:after="120" w:line="264"/>
        <w:jc w:val="both"/>
      </w:pPr>
      <w:r>
        <w:t xml:space="preserve">The Platform targets conformance with EN 301 549 / WCAG 2.1 Level AA for the Client-facing interface.</w:t>
      </w:r>
    </w:p>
    <w:p>
      <w:pPr>
        <w:spacing w:after="60" w:before="160"/>
      </w:pPr>
      <w:r>
        <w:rPr>
          <w:b/>
          <w:bCs/>
          <w:sz w:val="22"/>
          <w:szCs w:val="22"/>
        </w:rPr>
        <w:t xml:space="preserve">14.  </w:t>
      </w:r>
      <w:r>
        <w:rPr>
          <w:b/>
          <w:bCs/>
          <w:sz w:val="22"/>
          <w:szCs w:val="22"/>
        </w:rPr>
        <w:t xml:space="preserve">Governing law and jurisdiction</w:t>
      </w:r>
    </w:p>
    <w:p>
      <w:pPr>
        <w:spacing w:after="120" w:line="264"/>
        <w:jc w:val="both"/>
      </w:pPr>
      <w:r>
        <w:t xml:space="preserve">These Terms are governed by the laws of the Republic of Cyprus, and the courts of Cyprus have exclusive jurisdiction, without prejudice to mandatory EU law. [Confirm dispute-resolution mechanism with counsel.]</w:t>
      </w:r>
    </w:p>
    <w:p>
      <w:pPr>
        <w:pStyle w:val="Heading2"/>
      </w:pPr>
      <w:r>
        <w:t xml:space="preserve">Schedule 3 — DORA contractual addendum (outline)</w:t>
      </w:r>
    </w:p>
    <w:p>
      <w:pPr>
        <w:pStyle w:val="ListParagraph"/>
        <w:numPr>
          <w:ilvl w:val="0"/>
          <w:numId w:val="2"/>
        </w:numPr>
        <w:spacing w:after="70" w:line="260"/>
      </w:pPr>
      <w:r>
        <w:t xml:space="preserve">Article 30(2) baseline (all engagements): description of services and locations of data processing; data-protection and security measures; incident assistance; cooperation with authorities; termination rights; exit assistance.</w:t>
      </w:r>
    </w:p>
    <w:p>
      <w:pPr>
        <w:pStyle w:val="ListParagraph"/>
        <w:numPr>
          <w:ilvl w:val="0"/>
          <w:numId w:val="2"/>
        </w:numPr>
        <w:spacing w:after="70" w:line="260"/>
      </w:pPr>
      <w:r>
        <w:t xml:space="preserve">Article 30(3) enhanced (critical/important functions): service levels and performance targets; business continuity and disaster recovery; audit and access rights; participation in threat-led penetration testing; controls on sub-contracting.</w:t>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Classify each engagement as supporting a ‘critical or important function’ or not, and apply Schedule 3’s baseline or enhanced terms accordingly.</w:t>
      </w:r>
    </w:p>
    <w:p>
      <w:pPr>
        <w:pStyle w:val="Heading2"/>
      </w:pPr>
      <w:r>
        <w:t xml:space="preserve">Schedule 4 — AI transparency notice (End-User facing)</w:t>
      </w:r>
    </w:p>
    <w:p>
      <w:pPr>
        <w:spacing w:after="120" w:line="264"/>
        <w:jc w:val="both"/>
      </w:pPr>
      <w:r>
        <w:t xml:space="preserve">“You are chatting with an AI assistant, not a person. It can help with [permitted use cases]. You can ask to speak with a human at any time. [Where applicable: by continuing, you consent to the processing described in our privacy notice.]”</w:t>
      </w:r>
    </w:p>
    <w:p>
      <w:pPr>
        <w:pStyle w:val="Heading1"/>
      </w:pPr>
      <w:r>
        <w:t xml:space="preserve">Appendix — Sources and References</w:t>
      </w:r>
    </w:p>
    <w:p>
      <w:pPr>
        <w:spacing w:after="120" w:line="264"/>
        <w:jc w:val="both"/>
      </w:pPr>
      <w:r>
        <w:t xml:space="preserve">Primary legislation is authoritative only in the Official Journal version on EUR-Lex. Regulatory status reflects mid-2026 and the not-yet-adopted Digital Omnibus on AI.</w:t>
      </w:r>
    </w:p>
    <w:p>
      <w:pPr>
        <w:pStyle w:val="ListParagraph"/>
        <w:numPr>
          <w:ilvl w:val="0"/>
          <w:numId w:val="2"/>
        </w:numPr>
        <w:spacing w:after="60" w:line="260"/>
      </w:pPr>
      <w:r>
        <w:t xml:space="preserve">GDPR — Regulation (EU) 2016/679 — </w:t>
      </w:r>
      <w:hyperlink w:history="1" r:id="rIdpeyfhbjktmova88igcrfw">
        <w:r>
          <w:rPr>
            <w:rStyle w:val="Hyperlink"/>
          </w:rPr>
          <w:t xml:space="preserve">https://eur-lex.europa.eu/eli/reg/2016/679/oj/eng</w:t>
        </w:r>
      </w:hyperlink>
    </w:p>
    <w:p>
      <w:pPr>
        <w:pStyle w:val="ListParagraph"/>
        <w:numPr>
          <w:ilvl w:val="0"/>
          <w:numId w:val="2"/>
        </w:numPr>
        <w:spacing w:after="60" w:line="260"/>
      </w:pPr>
      <w:r>
        <w:t xml:space="preserve">EU AI Act — Regulation (EU) 2024/1689 — </w:t>
      </w:r>
      <w:hyperlink w:history="1" r:id="rId232dwyrqlkh-mlse5jthv">
        <w:r>
          <w:rPr>
            <w:rStyle w:val="Hyperlink"/>
          </w:rPr>
          <w:t xml:space="preserve">https://eur-lex.europa.eu/eli/reg/2024/1689/oj/eng</w:t>
        </w:r>
      </w:hyperlink>
    </w:p>
    <w:p>
      <w:pPr>
        <w:pStyle w:val="ListParagraph"/>
        <w:numPr>
          <w:ilvl w:val="0"/>
          <w:numId w:val="2"/>
        </w:numPr>
        <w:spacing w:after="60" w:line="260"/>
      </w:pPr>
      <w:r>
        <w:t xml:space="preserve">DORA — Regulation (EU) 2022/2554 — </w:t>
      </w:r>
      <w:hyperlink w:history="1" r:id="rIdzqfnbkjy-gf96dodz7qiz">
        <w:r>
          <w:rPr>
            <w:rStyle w:val="Hyperlink"/>
          </w:rPr>
          <w:t xml:space="preserve">https://eur-lex.europa.eu/legal-content/en/TXT/?uri=CELEX:32022R2554</w:t>
        </w:r>
      </w:hyperlink>
    </w:p>
    <w:p>
      <w:pPr>
        <w:pStyle w:val="ListParagraph"/>
        <w:numPr>
          <w:ilvl w:val="0"/>
          <w:numId w:val="2"/>
        </w:numPr>
        <w:spacing w:after="60" w:line="260"/>
      </w:pPr>
      <w:r>
        <w:t xml:space="preserve">IDD — Directive (EU) 2016/97 — </w:t>
      </w:r>
      <w:hyperlink w:history="1" r:id="rIdu9-c8gunc_y3qlheb613i">
        <w:r>
          <w:rPr>
            <w:rStyle w:val="Hyperlink"/>
          </w:rPr>
          <w:t xml:space="preserve">https://eur-lex.europa.eu/eli/dir/2016/97/oj/eng</w:t>
        </w:r>
      </w:hyperlink>
    </w:p>
    <w:p>
      <w:pPr>
        <w:pStyle w:val="ListParagraph"/>
        <w:numPr>
          <w:ilvl w:val="0"/>
          <w:numId w:val="2"/>
        </w:numPr>
        <w:spacing w:after="60" w:line="260"/>
      </w:pPr>
      <w:r>
        <w:t xml:space="preserve">European Accessibility Act — Directive (EU) 2019/882 — </w:t>
      </w:r>
      <w:hyperlink w:history="1" r:id="rIdsxxjc3jlapocjpdlusi4z">
        <w:r>
          <w:rPr>
            <w:rStyle w:val="Hyperlink"/>
          </w:rPr>
          <w:t xml:space="preserve">https://eur-lex.europa.eu/eli/dir/2019/882/oj/eng</w:t>
        </w:r>
      </w:hyperlink>
    </w:p>
    <w:p>
      <w:pPr>
        <w:pStyle w:val="ListParagraph"/>
        <w:numPr>
          <w:ilvl w:val="0"/>
          <w:numId w:val="2"/>
        </w:numPr>
        <w:spacing w:after="60" w:line="260"/>
      </w:pPr>
      <w:r>
        <w:t xml:space="preserve">NIS2 — Directive (EU) 2022/2555 — </w:t>
      </w:r>
      <w:hyperlink w:history="1" r:id="rIdiau3ya0ho1smf339oklck">
        <w:r>
          <w:rPr>
            <w:rStyle w:val="Hyperlink"/>
          </w:rPr>
          <w:t xml:space="preserve">https://eur-lex.europa.eu/eli/dir/2022/2555/oj/eng</w:t>
        </w:r>
      </w:hyperlink>
    </w:p>
    <w:p>
      <w:pPr>
        <w:pStyle w:val="ListParagraph"/>
        <w:numPr>
          <w:ilvl w:val="0"/>
          <w:numId w:val="2"/>
        </w:numPr>
        <w:spacing w:after="60" w:line="260"/>
      </w:pPr>
      <w:r>
        <w:t xml:space="preserve">EU AI Act timeline &amp; Annex III (EC AI Act Service Desk) — </w:t>
      </w:r>
      <w:hyperlink w:history="1" r:id="rIdmetj1k_pc5t0fsegwsrd8">
        <w:r>
          <w:rPr>
            <w:rStyle w:val="Hyperlink"/>
          </w:rPr>
          <w:t xml:space="preserve">https://ai-act-service-desk.ec.europa.eu</w:t>
        </w:r>
      </w:hyperlink>
    </w:p>
    <w:p>
      <w:pPr>
        <w:pStyle w:val="ListParagraph"/>
        <w:numPr>
          <w:ilvl w:val="0"/>
          <w:numId w:val="2"/>
        </w:numPr>
        <w:spacing w:after="60" w:line="260"/>
      </w:pPr>
      <w:r>
        <w:t xml:space="preserve">Digital Omnibus on AI — Council press release (7 May 2026) — </w:t>
      </w:r>
      <w:hyperlink w:history="1" r:id="rIdanzajyg_d4iyipoumihas">
        <w:r>
          <w:rPr>
            <w:rStyle w:val="Hyperlink"/>
          </w:rPr>
          <w:t xml:space="preserve">https://www.consilium.europa.eu/en/press/press-releases/2026/05/07/artificial-intelligence-council-and-parliament-agree-to-simplify-and-streamline-rules/</w:t>
        </w:r>
      </w:hyperlink>
    </w:p>
    <w:p>
      <w:pPr>
        <w:pStyle w:val="ListParagraph"/>
        <w:numPr>
          <w:ilvl w:val="0"/>
          <w:numId w:val="2"/>
        </w:numPr>
        <w:spacing w:after="60" w:line="260"/>
      </w:pPr>
      <w:r>
        <w:t xml:space="preserve">EIOPA — DORA overview — </w:t>
      </w:r>
      <w:hyperlink w:history="1" r:id="rIducflqduhqklzg4zrpw7jz">
        <w:r>
          <w:rPr>
            <w:rStyle w:val="Hyperlink"/>
          </w:rPr>
          <w:t xml:space="preserve">https://www.eiopa.europa.eu/digital-operational-resilience-act-dora_en</w:t>
        </w:r>
      </w:hyperlink>
    </w:p>
    <w:p>
      <w:pPr>
        <w:pStyle w:val="ListParagraph"/>
        <w:numPr>
          <w:ilvl w:val="0"/>
          <w:numId w:val="2"/>
        </w:numPr>
        <w:spacing w:after="60" w:line="260"/>
      </w:pPr>
      <w:r>
        <w:t xml:space="preserve">EU-US Data Privacy Framework — participant list — </w:t>
      </w:r>
      <w:hyperlink w:history="1" r:id="rIdxob-nyklrjykqrucpkqqq">
        <w:r>
          <w:rPr>
            <w:rStyle w:val="Hyperlink"/>
          </w:rPr>
          <w:t xml:space="preserve">https://www.dataprivacyframework.gov/list</w:t>
        </w:r>
      </w:hyperlink>
    </w:p>
    <w:p>
      <w:pPr>
        <w:pStyle w:val="ListParagraph"/>
        <w:numPr>
          <w:ilvl w:val="0"/>
          <w:numId w:val="2"/>
        </w:numPr>
        <w:spacing w:after="60" w:line="260"/>
      </w:pPr>
      <w:r>
        <w:t xml:space="preserve">Cyprus — Commissioner for the Protection of Personal Data — </w:t>
      </w:r>
      <w:hyperlink w:history="1" r:id="rIdd0ldw5pmvfrdgxcr9ep5y">
        <w:r>
          <w:rPr>
            <w:rStyle w:val="Hyperlink"/>
          </w:rPr>
          <w:t xml:space="preserve">https://www.dataprotection.gov.cy</w:t>
        </w:r>
      </w:hyperlink>
    </w:p>
    <w:p>
      <w:pPr>
        <w:pStyle w:val="ListParagraph"/>
        <w:numPr>
          <w:ilvl w:val="0"/>
          <w:numId w:val="2"/>
        </w:numPr>
        <w:spacing w:after="60" w:line="260"/>
      </w:pPr>
      <w:r>
        <w:t xml:space="preserve">Cyprus — Superintendent of Insurance (Insurance Companies Control Service) — </w:t>
      </w:r>
      <w:hyperlink w:history="1" r:id="rIdld597jhjm-hemleerxhu6">
        <w:r>
          <w:rPr>
            <w:rStyle w:val="Hyperlink"/>
          </w:rPr>
          <w:t xml:space="preserve">https://www.gov.cy/mof/en/insurance-companies-control-service/</w:t>
        </w:r>
      </w:hyperlink>
    </w:p>
    <w:p>
      <w:pPr>
        <w:pStyle w:val="ListParagraph"/>
        <w:numPr>
          <w:ilvl w:val="0"/>
          <w:numId w:val="2"/>
        </w:numPr>
        <w:spacing w:after="60" w:line="260"/>
      </w:pPr>
      <w:r>
        <w:t xml:space="preserve">Voiceflow — Billing — </w:t>
      </w:r>
      <w:hyperlink w:history="1" r:id="rIdvyjm8xdj_7bgz3lt1brxj">
        <w:r>
          <w:rPr>
            <w:rStyle w:val="Hyperlink"/>
          </w:rPr>
          <w:t xml:space="preserve">https://docs.voiceflow.com/documentation/account-management/billing</w:t>
        </w:r>
      </w:hyperlink>
    </w:p>
    <w:p>
      <w:pPr>
        <w:pStyle w:val="ListParagraph"/>
        <w:numPr>
          <w:ilvl w:val="0"/>
          <w:numId w:val="2"/>
        </w:numPr>
        <w:spacing w:after="60" w:line="260"/>
      </w:pPr>
      <w:r>
        <w:t xml:space="preserve">Voiceflow — Authentication / API keys — </w:t>
      </w:r>
      <w:hyperlink w:history="1" r:id="rIddkpeoxdair_lb1nuytony">
        <w:r>
          <w:rPr>
            <w:rStyle w:val="Hyperlink"/>
          </w:rPr>
          <w:t xml:space="preserve">https://docs.voiceflow.com/api-reference/authentication</w:t>
        </w:r>
      </w:hyperlink>
    </w:p>
    <w:p>
      <w:pPr>
        <w:pStyle w:val="ListParagraph"/>
        <w:numPr>
          <w:ilvl w:val="0"/>
          <w:numId w:val="2"/>
        </w:numPr>
        <w:spacing w:after="60" w:line="260"/>
      </w:pPr>
      <w:r>
        <w:t xml:space="preserve">Voiceflow — Secrets — </w:t>
      </w:r>
      <w:hyperlink w:history="1" r:id="rId6hlqcsqmfass3ucpdugrs">
        <w:r>
          <w:rPr>
            <w:rStyle w:val="Hyperlink"/>
          </w:rPr>
          <w:t xml:space="preserve">https://docs.voiceflow.com/documentation/building/data/secrets</w:t>
        </w:r>
      </w:hyperlink>
    </w:p>
    <w:p>
      <w:pPr>
        <w:pStyle w:val="ListParagraph"/>
        <w:numPr>
          <w:ilvl w:val="0"/>
          <w:numId w:val="2"/>
        </w:numPr>
        <w:spacing w:after="60" w:line="260"/>
      </w:pPr>
      <w:r>
        <w:t xml:space="preserve">Voiceflow — PII redaction — </w:t>
      </w:r>
      <w:hyperlink w:history="1" r:id="rIdkua-jgf-55zflgsahwfj8">
        <w:r>
          <w:rPr>
            <w:rStyle w:val="Hyperlink"/>
          </w:rPr>
          <w:t xml:space="preserve">https://docs.voiceflow.com/documentation/build/data/pii-redaction</w:t>
        </w:r>
      </w:hyperlink>
    </w:p>
    <w:p>
      <w:pPr>
        <w:pStyle w:val="ListParagraph"/>
        <w:numPr>
          <w:ilvl w:val="0"/>
          <w:numId w:val="2"/>
        </w:numPr>
        <w:spacing w:after="60" w:line="260"/>
      </w:pPr>
      <w:r>
        <w:t xml:space="preserve">Voiceflow — Security &amp; certifications — </w:t>
      </w:r>
      <w:hyperlink w:history="1" r:id="rIdr-mllrji-mhmuogoi9aim">
        <w:r>
          <w:rPr>
            <w:rStyle w:val="Hyperlink"/>
          </w:rPr>
          <w:t xml:space="preserve">https://www.voiceflow.com/legal/security</w:t>
        </w:r>
      </w:hyperlink>
    </w:p>
    <w:p>
      <w:pPr>
        <w:pStyle w:val="ListParagraph"/>
        <w:numPr>
          <w:ilvl w:val="0"/>
          <w:numId w:val="2"/>
        </w:numPr>
        <w:spacing w:after="60" w:line="260"/>
      </w:pPr>
      <w:r>
        <w:t xml:space="preserve">Voiceflow — Data Processing Addendum — </w:t>
      </w:r>
      <w:hyperlink w:history="1" r:id="rIdawazfud-onhktnr22ivmw">
        <w:r>
          <w:rPr>
            <w:rStyle w:val="Hyperlink"/>
          </w:rPr>
          <w:t xml:space="preserve">https://www.voiceflow.com/legal/dpa</w:t>
        </w:r>
      </w:hyperlink>
    </w:p>
    <w:p>
      <w:pPr>
        <w:pStyle w:val="ListParagraph"/>
        <w:numPr>
          <w:ilvl w:val="0"/>
          <w:numId w:val="2"/>
        </w:numPr>
        <w:spacing w:after="60" w:line="260"/>
      </w:pPr>
      <w:r>
        <w:t xml:space="preserve">EN 301 549 (ETSI/CEN) and WCAG 2.1 (W3C) — </w:t>
      </w:r>
      <w:hyperlink w:history="1" r:id="rIdxcg5-odg2xswtuupm-kbt">
        <w:r>
          <w:rPr>
            <w:rStyle w:val="Hyperlink"/>
          </w:rPr>
          <w:t xml:space="preserve">https://www.w3.org/TR/WCAG21/</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0"/>
    </w:pPr>
    <w:r>
      <w:rPr>
        <w:color w:val="999999"/>
        <w:sz w:val="14"/>
        <w:szCs w:val="14"/>
      </w:rPr>
      <w:t xml:space="preserve">DRAFT FOR LEGAL REVIEW — NOT LEGAL ADVICE — PRIVILEGED &amp; CONFIDENTIAL</w:t>
    </w:r>
    <w:r>
      <w:rPr>
        <w:color w:val="999999"/>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color w:val="888888"/>
        <w:sz w:val="16"/>
        <w:szCs w:val="16"/>
      </w:rPr>
      <w:t xml:space="preserve">Legal, Compliance &amp; Contractual Framework</w:t>
    </w:r>
    <w:r>
      <w:rPr>
        <w:color w:val="888888"/>
        <w:sz w:val="16"/>
        <w:szCs w:val="16"/>
      </w:rPr>
      <w:t xml:space="preserve">	[COMPANY NAME]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F3864"/>
      <w:sz w:val="52"/>
      <w:szCs w:val="52"/>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4B7A"/>
      <w:sz w:val="25"/>
      <w:szCs w:val="25"/>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eyfhbjktmova88igcrfw" Type="http://schemas.openxmlformats.org/officeDocument/2006/relationships/hyperlink" Target="https://eur-lex.europa.eu/eli/reg/2016/679/oj/eng" TargetMode="External"/><Relationship Id="rId232dwyrqlkh-mlse5jthv" Type="http://schemas.openxmlformats.org/officeDocument/2006/relationships/hyperlink" Target="https://eur-lex.europa.eu/eli/reg/2024/1689/oj/eng" TargetMode="External"/><Relationship Id="rIdzqfnbkjy-gf96dodz7qiz" Type="http://schemas.openxmlformats.org/officeDocument/2006/relationships/hyperlink" Target="https://eur-lex.europa.eu/legal-content/en/TXT/?uri=CELEX:32022R2554" TargetMode="External"/><Relationship Id="rIdu9-c8gunc_y3qlheb613i" Type="http://schemas.openxmlformats.org/officeDocument/2006/relationships/hyperlink" Target="https://eur-lex.europa.eu/eli/dir/2016/97/oj/eng" TargetMode="External"/><Relationship Id="rIdsxxjc3jlapocjpdlusi4z" Type="http://schemas.openxmlformats.org/officeDocument/2006/relationships/hyperlink" Target="https://eur-lex.europa.eu/eli/dir/2019/882/oj/eng" TargetMode="External"/><Relationship Id="rIdiau3ya0ho1smf339oklck" Type="http://schemas.openxmlformats.org/officeDocument/2006/relationships/hyperlink" Target="https://eur-lex.europa.eu/eli/dir/2022/2555/oj/eng" TargetMode="External"/><Relationship Id="rIdmetj1k_pc5t0fsegwsrd8" Type="http://schemas.openxmlformats.org/officeDocument/2006/relationships/hyperlink" Target="https://ai-act-service-desk.ec.europa.eu" TargetMode="External"/><Relationship Id="rIdanzajyg_d4iyipoumihas" Type="http://schemas.openxmlformats.org/officeDocument/2006/relationships/hyperlink" Target="https://www.consilium.europa.eu/en/press/press-releases/2026/05/07/artificial-intelligence-council-and-parliament-agree-to-simplify-and-streamline-rules/" TargetMode="External"/><Relationship Id="rIducflqduhqklzg4zrpw7jz" Type="http://schemas.openxmlformats.org/officeDocument/2006/relationships/hyperlink" Target="https://www.eiopa.europa.eu/digital-operational-resilience-act-dora_en" TargetMode="External"/><Relationship Id="rIdxob-nyklrjykqrucpkqqq" Type="http://schemas.openxmlformats.org/officeDocument/2006/relationships/hyperlink" Target="https://www.dataprivacyframework.gov/list" TargetMode="External"/><Relationship Id="rIdd0ldw5pmvfrdgxcr9ep5y" Type="http://schemas.openxmlformats.org/officeDocument/2006/relationships/hyperlink" Target="https://www.dataprotection.gov.cy" TargetMode="External"/><Relationship Id="rIdld597jhjm-hemleerxhu6" Type="http://schemas.openxmlformats.org/officeDocument/2006/relationships/hyperlink" Target="https://www.gov.cy/mof/en/insurance-companies-control-service/" TargetMode="External"/><Relationship Id="rIdvyjm8xdj_7bgz3lt1brxj" Type="http://schemas.openxmlformats.org/officeDocument/2006/relationships/hyperlink" Target="https://docs.voiceflow.com/documentation/account-management/billing" TargetMode="External"/><Relationship Id="rIddkpeoxdair_lb1nuytony" Type="http://schemas.openxmlformats.org/officeDocument/2006/relationships/hyperlink" Target="https://docs.voiceflow.com/api-reference/authentication" TargetMode="External"/><Relationship Id="rId6hlqcsqmfass3ucpdugrs" Type="http://schemas.openxmlformats.org/officeDocument/2006/relationships/hyperlink" Target="https://docs.voiceflow.com/documentation/building/data/secrets" TargetMode="External"/><Relationship Id="rIdkua-jgf-55zflgsahwfj8" Type="http://schemas.openxmlformats.org/officeDocument/2006/relationships/hyperlink" Target="https://docs.voiceflow.com/documentation/build/data/pii-redaction" TargetMode="External"/><Relationship Id="rIdr-mllrji-mhmuogoi9aim" Type="http://schemas.openxmlformats.org/officeDocument/2006/relationships/hyperlink" Target="https://www.voiceflow.com/legal/security" TargetMode="External"/><Relationship Id="rIdawazfud-onhktnr22ivmw" Type="http://schemas.openxmlformats.org/officeDocument/2006/relationships/hyperlink" Target="https://www.voiceflow.com/legal/dpa" TargetMode="External"/><Relationship Id="rIdxcg5-odg2xswtuupm-kbt" Type="http://schemas.openxmlformats.org/officeDocument/2006/relationships/hyperlink" Target="https://www.w3.org/TR/WCAG21/"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2026-06-05T22:37:04.618Z</dcterms:created>
  <dcterms:modified xsi:type="dcterms:W3CDTF">2026-06-05T22:37:04.618Z</dcterms:modified>
</cp:coreProperties>
</file>

<file path=docProps/custom.xml><?xml version="1.0" encoding="utf-8"?>
<Properties xmlns="http://schemas.openxmlformats.org/officeDocument/2006/custom-properties" xmlns:vt="http://schemas.openxmlformats.org/officeDocument/2006/docPropsVTypes"/>
</file>