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pStyle w:val="Title"/>
        <w:spacing w:after="120"/>
      </w:pPr>
      <w:r>
        <w:t xml:space="preserve">Legal &amp; Compliance — Executive Summary</w:t>
      </w:r>
    </w:p>
    <w:p>
      <w:pPr>
        <w:pBdr>
          <w:bottom w:val="single" w:color="2E75B6" w:sz="12" w:space="8"/>
        </w:pBdr>
        <w:spacing w:after="400"/>
      </w:pPr>
      <w:r>
        <w:rPr>
          <w:color w:val="555555"/>
          <w:sz w:val="26"/>
          <w:szCs w:val="26"/>
        </w:rPr>
        <w:t xml:space="preserve">AI Assistant Platform for European Insurance</w:t>
      </w:r>
    </w:p>
    <w:p>
      <w:pPr>
        <w:spacing w:after="60"/>
      </w:pPr>
      <w:r>
        <w:rPr>
          <w:b/>
          <w:bCs/>
        </w:rPr>
        <w:t xml:space="preserve">Prepared for: </w:t>
      </w:r>
      <w:r>
        <w:t xml:space="preserve">[Company Name] Ltd, Nicosia, Cyprus</w:t>
      </w:r>
    </w:p>
    <w:p>
      <w:pPr>
        <w:spacing w:after="60"/>
      </w:pPr>
      <w:r>
        <w:rPr>
          <w:b/>
          <w:bCs/>
        </w:rPr>
        <w:t xml:space="preserve">Audience: </w:t>
      </w:r>
      <w:r>
        <w:t xml:space="preserve">Clients (insurers and brokers)</w:t>
      </w:r>
    </w:p>
    <w:p>
      <w:pPr>
        <w:spacing w:after="60"/>
      </w:pPr>
      <w:r>
        <w:rPr>
          <w:b/>
          <w:bCs/>
        </w:rPr>
        <w:t xml:space="preserve">Version / date: </w:t>
      </w:r>
      <w:r>
        <w:t xml:space="preserve">Draft v1.0 — [date]</w:t>
      </w:r>
    </w:p>
    <w:p>
      <w:pPr>
        <w:pBdr>
          <w:left w:val="single" w:color="C8881B" w:sz="18" w:space="8"/>
        </w:pBdr>
        <w:shd w:fill="FDF1D6" w:val="clear"/>
        <w:spacing w:after="0" w:before="360"/>
      </w:pPr>
      <w:r>
        <w:rPr>
          <w:b/>
          <w:bCs/>
          <w:color w:val="8A5A00"/>
        </w:rPr>
        <w:t xml:space="preserve">IMPORTANT — NOT LEGAL ADVICE. </w:t>
      </w:r>
      <w:r>
        <w:rPr>
          <w:i/>
          <w:iCs/>
          <w:color w:val="5C4400"/>
        </w:rPr>
        <w:t xml:space="preserve">This document is a professional drafting template prepared to wrap up the project’s technical and regulatory work. It is not legal advice and is not a substitute for review by qualified Cyprus/EU counsel. Bracketed [PLACEHOLDERS] must be completed and every clause confirmed before use, filing, or publication.</w:t>
      </w:r>
    </w:p>
    <w:p>
      <w:r>
        <w:br w:type="page"/>
      </w:r>
    </w:p>
    <w:p>
      <w:pPr>
        <w:pStyle w:val="Heading1"/>
      </w:pPr>
      <w:r>
        <w:t xml:space="preserve">In brief</w:t>
      </w:r>
    </w:p>
    <w:p>
      <w:pPr>
        <w:spacing w:after="120" w:line="264"/>
        <w:jc w:val="both"/>
      </w:pPr>
      <w:r>
        <w:t xml:space="preserve">[Company Name] Ltd provides white-label AI assistants (customer service, claims intake, policy Q&amp;A, lead qualification) to EU insurers and brokers, built on the Voiceflow engine and a Laravel application, with the engine isolated behind one internal interface. The Platform excludes life/health risk assessment, pricing, and underwriting.</w:t>
      </w:r>
    </w:p>
    <w:p>
      <w:pPr>
        <w:pStyle w:val="Heading1"/>
      </w:pPr>
      <w:r>
        <w:t xml:space="preserve">Roles</w:t>
      </w:r>
    </w:p>
    <w:p>
      <w:pPr>
        <w:spacing w:after="120" w:line="264"/>
        <w:jc w:val="both"/>
      </w:pPr>
      <w:r>
        <w:t xml:space="preserve">GDPR: we are processor, the Client is controller. AI Act: we are provider, the Client is deployer. DORA: we are an ICT third-party provider to the Client. IDD: out of scope unless the assistant performs distribution acts.</w:t>
      </w:r>
    </w:p>
    <w:p>
      <w:pPr>
        <w:pStyle w:val="Heading1"/>
      </w:pPr>
      <w:r>
        <w:t xml:space="preserve">Key compliance commitments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t xml:space="preserve">AI disclosure to end-users (AI Act Article 50, from 2 August 2026).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t xml:space="preserve">Explicit consent before any health/financial (special-category) data (GDPR Article 9).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t xml:space="preserve">No life/health pricing or underwriting (AI Act high-risk excluded).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t xml:space="preserve">DORA Article 30 contractual terms, tiered by criticality; exit and portability supported.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t xml:space="preserve">Product recommendations only where the Client is a registered insurance distributor (IDD).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t xml:space="preserve">Interface targeting WCAG 2.1 AA (European Accessibility Act).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t xml:space="preserve">EU-US transfers on Standard Contractual Clauses + Transfer Impact Assessment (engine not DPF-certified on current evidence).</w:t>
      </w:r>
    </w:p>
    <w:p>
      <w:pPr>
        <w:pStyle w:val="Heading1"/>
      </w:pPr>
      <w:r>
        <w:t xml:space="preserve">Contracts</w:t>
      </w:r>
    </w:p>
    <w:p>
      <w:pPr>
        <w:spacing w:after="120" w:line="264"/>
        <w:jc w:val="both"/>
      </w:pPr>
      <w:r>
        <w:t xml:space="preserve">Data Processing Agreement (Article 28); Terms of Service (Cyprus governing law, accuracy disclaimer, liability caps); DORA addendum; End-User AI notice.</w:t>
      </w:r>
    </w:p>
    <w:p>
      <w:pPr>
        <w:pStyle w:val="Heading1"/>
      </w:pPr>
      <w:r>
        <w:t xml:space="preserve">Cyprus authorities</w:t>
      </w:r>
    </w:p>
    <w:p>
      <w:pPr>
        <w:spacing w:after="120" w:line="264"/>
        <w:jc w:val="both"/>
      </w:pPr>
      <w:r>
        <w:t xml:space="preserve">Data protection: Commissioner for the Protection of Personal Data. Insurance/distribution: Superintendent of Insurance, Ministry of Finance.</w:t>
      </w:r>
    </w:p>
    <w:p>
      <w:pPr>
        <w:pBdr>
          <w:top w:val="single" w:color="E8C46B" w:sz="2" w:space="4"/>
          <w:bottom w:val="single" w:color="E8C46B" w:sz="2" w:space="4"/>
          <w:left w:val="single" w:color="C8881B" w:sz="18" w:space="8"/>
        </w:pBdr>
        <w:shd w:fill="FDF1D6" w:val="clear"/>
        <w:spacing w:after="140" w:before="100" w:line="260"/>
      </w:pPr>
      <w:r>
        <w:rPr>
          <w:b/>
          <w:bCs/>
          <w:color w:val="8A5A00"/>
        </w:rPr>
        <w:t xml:space="preserve">REVIEW NOTE: </w:t>
      </w:r>
      <w:r>
        <w:rPr>
          <w:i/>
          <w:iCs/>
          <w:color w:val="5C4400"/>
        </w:rPr>
        <w:t xml:space="preserve">Drafting summary only — not legal advice. Complete and confirm with qualified Cyprus/EU counsel.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  <w:spacing w:before="0"/>
    </w:pPr>
    <w:r>
      <w:rPr>
        <w:color w:val="999999"/>
        <w:sz w:val="14"/>
        <w:szCs w:val="14"/>
      </w:rPr>
      <w:t xml:space="preserve">DRAFT FOR LEGAL REVIEW — NOT LEGAL ADVICE — PRIVILEGED &amp; CONFIDENTIAL</w:t>
    </w:r>
    <w:r>
      <w:rPr>
        <w:color w:val="999999"/>
        <w:sz w:val="14"/>
        <w:szCs w:val="14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spacing w:after="0"/>
    </w:pPr>
    <w:r>
      <w:rPr>
        <w:color w:val="888888"/>
        <w:sz w:val="16"/>
        <w:szCs w:val="16"/>
      </w:rPr>
      <w:t xml:space="preserve">Legal &amp; Compliance — Executive Summary</w:t>
    </w:r>
    <w:r>
      <w:rPr>
        <w:color w:val="888888"/>
        <w:sz w:val="16"/>
        <w:szCs w:val="16"/>
      </w:rPr>
      <w:t xml:space="preserve">	[COMPANY NAME] LTD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</w:pPr>
    <w:rPr>
      <w:rFonts w:ascii="Arial" w:cs="Arial" w:eastAsia="Arial" w:hAnsi="Arial"/>
      <w:b/>
      <w:bCs/>
      <w:color w:val="1F3864"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4B7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2026-06-05T22:37:04.632Z</dcterms:created>
  <dcterms:modified xsi:type="dcterms:W3CDTF">2026-06-05T22:37:04.632Z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