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pStyle w:val="Title"/>
        <w:spacing w:after="120"/>
      </w:pPr>
      <w:r>
        <w:t xml:space="preserve">Legal &amp; Compliance Summary (Medium)</w:t>
      </w:r>
    </w:p>
    <w:p>
      <w:pPr>
        <w:pBdr>
          <w:bottom w:val="single" w:color="2E75B6" w:sz="12" w:space="8"/>
        </w:pBdr>
        <w:spacing w:after="400"/>
      </w:pPr>
      <w:r>
        <w:rPr>
          <w:color w:val="555555"/>
          <w:sz w:val="26"/>
          <w:szCs w:val="26"/>
        </w:rPr>
        <w:t xml:space="preserve">AI Assistant Platform for European Insurance</w:t>
      </w:r>
    </w:p>
    <w:p>
      <w:pPr>
        <w:spacing w:after="60"/>
      </w:pPr>
      <w:r>
        <w:rPr>
          <w:b/>
          <w:bCs/>
        </w:rPr>
        <w:t xml:space="preserve">Prepared for: </w:t>
      </w:r>
      <w:r>
        <w:t xml:space="preserve">[Company Name] Ltd, Nicosia, Cyprus</w:t>
      </w:r>
    </w:p>
    <w:p>
      <w:pPr>
        <w:spacing w:after="60"/>
      </w:pPr>
      <w:r>
        <w:rPr>
          <w:b/>
          <w:bCs/>
        </w:rPr>
        <w:t xml:space="preserve">Audience: </w:t>
      </w:r>
      <w:r>
        <w:t xml:space="preserve">Clients (insurers and brokers)</w:t>
      </w:r>
    </w:p>
    <w:p>
      <w:pPr>
        <w:spacing w:after="60"/>
      </w:pPr>
      <w:r>
        <w:rPr>
          <w:b/>
          <w:bCs/>
        </w:rPr>
        <w:t xml:space="preserve">Companion to: </w:t>
      </w:r>
      <w:r>
        <w:t xml:space="preserve">Legal, Compliance &amp; Contractual Framework (full)</w:t>
      </w:r>
    </w:p>
    <w:p>
      <w:pPr>
        <w:spacing w:after="60"/>
      </w:pPr>
      <w:r>
        <w:rPr>
          <w:b/>
          <w:bCs/>
        </w:rPr>
        <w:t xml:space="preserve">Version / date: </w:t>
      </w:r>
      <w:r>
        <w:t xml:space="preserve">Draft v1.0 — [date]</w:t>
      </w:r>
    </w:p>
    <w:p>
      <w:pPr>
        <w:pBdr>
          <w:left w:val="single" w:color="C8881B" w:sz="18" w:space="8"/>
        </w:pBdr>
        <w:shd w:fill="FDF1D6" w:val="clear"/>
        <w:spacing w:after="0" w:before="360"/>
      </w:pPr>
      <w:r>
        <w:rPr>
          <w:b/>
          <w:bCs/>
          <w:color w:val="8A5A00"/>
        </w:rPr>
        <w:t xml:space="preserve">IMPORTANT — NOT LEGAL ADVICE. </w:t>
      </w:r>
      <w:r>
        <w:rPr>
          <w:i/>
          <w:iCs/>
          <w:color w:val="5C4400"/>
        </w:rPr>
        <w:t xml:space="preserve">This document is a professional drafting template prepared to wrap up the project’s technical and regulatory work. It is not legal advice and is not a substitute for review by qualified Cyprus/EU counsel. Bracketed [PLACEHOLDERS] must be completed and every clause confirmed before use, filing, or publication.</w:t>
      </w:r>
    </w:p>
    <w:p>
      <w:r>
        <w:br w:type="page"/>
      </w:r>
    </w:p>
    <w:p>
      <w:pPr>
        <w:pStyle w:val="Heading1"/>
      </w:pPr>
      <w:r>
        <w:t xml:space="preserve">1. The Platform</w:t>
      </w:r>
    </w:p>
    <w:p>
      <w:pPr>
        <w:spacing w:after="120" w:line="264"/>
        <w:jc w:val="both"/>
      </w:pPr>
      <w:r>
        <w:t xml:space="preserve">[Company Name] Ltd operates a white-label AI assistant platform for insurers and brokers — customer service, claims intake, policy Q&amp;A, and lead qualification — built on the Voiceflow conversation engine and a Laravel application, with the engine isolated behind a single internal interface so it can be replaced without rebuilding the Platform. The Platform does not provide AI for life/health risk assessment, pricing, or underwriting.</w:t>
      </w:r>
    </w:p>
    <w:p>
      <w:pPr>
        <w:pStyle w:val="Heading1"/>
      </w:pPr>
      <w:r>
        <w:t xml:space="preserve">2. Roles of the parties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</w:rPr>
              <w:t xml:space="preserve">Regime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</w:rPr>
              <w:t xml:space="preserve">Client (insurer / broker)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</w:rPr>
              <w:t xml:space="preserve">[Company Name] (the platform)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GDPR (Reg. 2016/679)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Data controller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Data processor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EU AI Act (Reg. 2024/1689)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Deployer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Provider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DORA (Reg. 2022/2554)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Financial entity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ICT third-party service provider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IDD (Dir. 2016/97)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Insurance distributor (if advising/selling)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Out of scope unless the assistant performs distribution acts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3. Operating and billing model</w:t>
      </w:r>
    </w:p>
    <w:p>
      <w:pPr>
        <w:spacing w:after="120" w:line="264"/>
        <w:jc w:val="both"/>
      </w:pPr>
      <w:r>
        <w:t xml:space="preserve">Each Client receives a private, branded assistant, provisioned automatically. The engine is billed to the Platform at organisation level with a shared, usage-based credit pool — there is no per-Client engine subscription. The Platform runs its own Client credit ledger, meters per interaction, enforces per-Client limits, and reconciles against actual engine usage.</w:t>
      </w:r>
    </w:p>
    <w:p>
      <w:pPr>
        <w:pStyle w:val="Heading1"/>
      </w:pPr>
      <w:r>
        <w:t xml:space="preserve">4. Security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Engine credential held server-side only and rotated; the end-user never reaches the engine directly.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Per-Client tenant isolation with authorisation against the authenticated account.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PII redaction at the engine layer (English-only; the Platform additionally minimises and redacts non-English data before logging).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Rate limiting, signed chat-session tokens, audit logging, monitoring and alerting.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Engine sub-processor holds SOC 2 Type II, ISO/IEC 27001:2022, GDPR and HIPAA programmes; the Platform’s own certifications are [state only those held].</w:t>
      </w:r>
    </w:p>
    <w:p>
      <w:pPr>
        <w:pStyle w:val="Heading1"/>
      </w:pPr>
      <w:r>
        <w:t xml:space="preserve">5. Regulatory position (EU)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GDPR: Platform is processor; DPA in place; data-subject rights and Article 22 human review supported. Health/financial data is special-category (Article 9) — explicit consent required; top fine tier €20m / 4%.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EU AI Act: AI disclosure from 2 August 2026 (even with no personal data); life/health pricing is high-risk and excluded. The deferral of high-risk obligations to December 2027 is not yet adopted — the Platform plans against 2 August 2026.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DORA: the Platform is an ICT third-party provider in the Client’s perimeter; Article 30 terms apply, tiered by criticality. Bespoke DORA terms cannot be flowed to the upstream engine — managed via transparency and exit.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IDD: assistants are non-distribution by default; product-recommendation features require the Client’s registered-distributor attestation.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European Accessibility Act: the interface targets WCAG 2.1 AA (enforceable since June 2025).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Transfers: on current evidence the engine relies on SCCs, not the Data Privacy Framework — the Platform relies on SCCs + a Transfer Impact Assessment.</w:t>
      </w:r>
    </w:p>
    <w:p>
      <w:pPr>
        <w:pStyle w:val="Heading1"/>
      </w:pPr>
      <w:r>
        <w:t xml:space="preserve">6. Contract suite</w:t>
      </w:r>
    </w:p>
    <w:p>
      <w:pPr>
        <w:spacing w:after="120" w:line="264"/>
        <w:jc w:val="both"/>
      </w:pPr>
      <w:r>
        <w:t xml:space="preserve">Client engagements are governed by: a Data Processing Agreement (GDPR Article 28); Terms of Service (permitted use, AI transparency, fees/credits, accuracy disclaimer, liability caps, exit/portability, Cyprus governing law); a DORA addendum (Article 30 baseline/enhanced); and an End-User AI transparency notice. Full templates are in the framework document, Part B.</w:t>
      </w:r>
    </w:p>
    <w:p>
      <w:pPr>
        <w:pStyle w:val="Heading1"/>
      </w:pPr>
      <w:r>
        <w:t xml:space="preserve">7. Cyprus authorities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Data protection: Commissioner for the Protection of Personal Data, Nicosia (Law 125(I)/2018).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Insurance and distribution: Superintendent of Insurance, Ministry of Finance (Law 38(I)/2016).</w:t>
      </w:r>
    </w:p>
    <w:p>
      <w:pPr>
        <w:pBdr>
          <w:top w:val="single" w:color="E8C46B" w:sz="2" w:space="4"/>
          <w:bottom w:val="single" w:color="E8C46B" w:sz="2" w:space="4"/>
          <w:left w:val="single" w:color="C8881B" w:sz="18" w:space="8"/>
        </w:pBdr>
        <w:shd w:fill="FDF1D6" w:val="clear"/>
        <w:spacing w:after="140" w:before="100" w:line="260"/>
      </w:pPr>
      <w:r>
        <w:rPr>
          <w:b/>
          <w:bCs/>
          <w:color w:val="8A5A00"/>
        </w:rPr>
        <w:t xml:space="preserve">REVIEW NOTE: </w:t>
      </w:r>
      <w:r>
        <w:rPr>
          <w:i/>
          <w:iCs/>
          <w:color w:val="5C4400"/>
        </w:rPr>
        <w:t xml:space="preserve">This summary is a drafting aid, not legal advice. Confirm all positions and complete the contract templates with qualified Cyprus/EU counsel before use.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GDPR — Regulation (EU) 2016/679 — </w:t>
      </w:r>
      <w:hyperlink w:history="1" r:id="rIdsjal47m7afofscwauxe6x">
        <w:r>
          <w:rPr>
            <w:rStyle w:val="Hyperlink"/>
          </w:rPr>
          <w:t xml:space="preserve">https://eur-lex.europa.eu/eli/reg/2016/679/oj/eng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EU AI Act — Regulation (EU) 2024/1689 — </w:t>
      </w:r>
      <w:hyperlink w:history="1" r:id="rIdzpmaxmglwzp71uqspj-pt">
        <w:r>
          <w:rPr>
            <w:rStyle w:val="Hyperlink"/>
          </w:rPr>
          <w:t xml:space="preserve">https://eur-lex.europa.eu/eli/reg/2024/1689/oj/eng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DORA — Regulation (EU) 2022/2554 — </w:t>
      </w:r>
      <w:hyperlink w:history="1" r:id="rIdtq-ar_7rhf-f3njyxnhzm">
        <w:r>
          <w:rPr>
            <w:rStyle w:val="Hyperlink"/>
          </w:rPr>
          <w:t xml:space="preserve">https://eur-lex.europa.eu/legal-content/en/TXT/?uri=CELEX:32022R2554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IDD — Directive (EU) 2016/97 — </w:t>
      </w:r>
      <w:hyperlink w:history="1" r:id="rIdeiq_14uagw3bdye9xcoym">
        <w:r>
          <w:rPr>
            <w:rStyle w:val="Hyperlink"/>
          </w:rPr>
          <w:t xml:space="preserve">https://eur-lex.europa.eu/eli/dir/2016/97/oj/eng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European Accessibility Act — Directive (EU) 2019/882 — </w:t>
      </w:r>
      <w:hyperlink w:history="1" r:id="rIdngyoqggz3tn4ih90y1rwa">
        <w:r>
          <w:rPr>
            <w:rStyle w:val="Hyperlink"/>
          </w:rPr>
          <w:t xml:space="preserve">https://eur-lex.europa.eu/eli/dir/2019/882/oj/eng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NIS2 — Directive (EU) 2022/2555 — </w:t>
      </w:r>
      <w:hyperlink w:history="1" r:id="rIdwfvzwxke3dw8hdkqu8n18">
        <w:r>
          <w:rPr>
            <w:rStyle w:val="Hyperlink"/>
          </w:rPr>
          <w:t xml:space="preserve">https://eur-lex.europa.eu/eli/dir/2022/2555/oj/eng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EU AI Act timeline &amp; Annex III (EC AI Act Service Desk) — </w:t>
      </w:r>
      <w:hyperlink w:history="1" r:id="rId9i-ll3lhm3b9qg9hkuuxh">
        <w:r>
          <w:rPr>
            <w:rStyle w:val="Hyperlink"/>
          </w:rPr>
          <w:t xml:space="preserve">https://ai-act-service-desk.ec.europa.eu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Digital Omnibus on AI — Council press release (7 May 2026) — </w:t>
      </w:r>
      <w:hyperlink w:history="1" r:id="rIdf0aosawjpu3-ipd2g7uxf">
        <w:r>
          <w:rPr>
            <w:rStyle w:val="Hyperlink"/>
          </w:rPr>
          <w:t xml:space="preserve">https://www.consilium.europa.eu/en/press/press-releases/2026/05/07/artificial-intelligence-council-and-parliament-agree-to-simplify-and-streamline-rules/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EIOPA — DORA overview — </w:t>
      </w:r>
      <w:hyperlink w:history="1" r:id="rIdbkzhgcrmvavtgbwaflke6">
        <w:r>
          <w:rPr>
            <w:rStyle w:val="Hyperlink"/>
          </w:rPr>
          <w:t xml:space="preserve">https://www.eiopa.europa.eu/digital-operational-resilience-act-dora_en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EU-US Data Privacy Framework — participant list — </w:t>
      </w:r>
      <w:hyperlink w:history="1" r:id="rId-mfc1o2p-55qzj3d2mi6q">
        <w:r>
          <w:rPr>
            <w:rStyle w:val="Hyperlink"/>
          </w:rPr>
          <w:t xml:space="preserve">https://www.dataprivacyframework.gov/list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Cyprus — Commissioner for the Protection of Personal Data — </w:t>
      </w:r>
      <w:hyperlink w:history="1" r:id="rIdsdubuwfaaaw0p7n9o7ras">
        <w:r>
          <w:rPr>
            <w:rStyle w:val="Hyperlink"/>
          </w:rPr>
          <w:t xml:space="preserve">https://www.dataprotection.gov.cy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Cyprus — Superintendent of Insurance (Insurance Companies Control Service) — </w:t>
      </w:r>
      <w:hyperlink w:history="1" r:id="rId-kfabbped6zjpdb7h2eab">
        <w:r>
          <w:rPr>
            <w:rStyle w:val="Hyperlink"/>
          </w:rPr>
          <w:t xml:space="preserve">https://www.gov.cy/mof/en/insurance-companies-control-service/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0"/>
    </w:pPr>
    <w:r>
      <w:rPr>
        <w:color w:val="999999"/>
        <w:sz w:val="14"/>
        <w:szCs w:val="14"/>
      </w:rPr>
      <w:t xml:space="preserve">DRAFT FOR LEGAL REVIEW — NOT LEGAL ADVICE — PRIVILEGED &amp; CONFIDENTIAL</w:t>
    </w:r>
    <w:r>
      <w:rPr>
        <w:color w:val="999999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0"/>
    </w:pPr>
    <w:r>
      <w:rPr>
        <w:color w:val="888888"/>
        <w:sz w:val="16"/>
        <w:szCs w:val="16"/>
      </w:rPr>
      <w:t xml:space="preserve">Legal &amp; Compliance Summary (Medium)</w:t>
    </w:r>
    <w:r>
      <w:rPr>
        <w:color w:val="888888"/>
        <w:sz w:val="16"/>
        <w:szCs w:val="16"/>
      </w:rPr>
      <w:t xml:space="preserve">	[COMPANY NAME]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B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jal47m7afofscwauxe6x" Type="http://schemas.openxmlformats.org/officeDocument/2006/relationships/hyperlink" Target="https://eur-lex.europa.eu/eli/reg/2016/679/oj/eng" TargetMode="External"/><Relationship Id="rIdzpmaxmglwzp71uqspj-pt" Type="http://schemas.openxmlformats.org/officeDocument/2006/relationships/hyperlink" Target="https://eur-lex.europa.eu/eli/reg/2024/1689/oj/eng" TargetMode="External"/><Relationship Id="rIdtq-ar_7rhf-f3njyxnhzm" Type="http://schemas.openxmlformats.org/officeDocument/2006/relationships/hyperlink" Target="https://eur-lex.europa.eu/legal-content/en/TXT/?uri=CELEX:32022R2554" TargetMode="External"/><Relationship Id="rIdeiq_14uagw3bdye9xcoym" Type="http://schemas.openxmlformats.org/officeDocument/2006/relationships/hyperlink" Target="https://eur-lex.europa.eu/eli/dir/2016/97/oj/eng" TargetMode="External"/><Relationship Id="rIdngyoqggz3tn4ih90y1rwa" Type="http://schemas.openxmlformats.org/officeDocument/2006/relationships/hyperlink" Target="https://eur-lex.europa.eu/eli/dir/2019/882/oj/eng" TargetMode="External"/><Relationship Id="rIdwfvzwxke3dw8hdkqu8n18" Type="http://schemas.openxmlformats.org/officeDocument/2006/relationships/hyperlink" Target="https://eur-lex.europa.eu/eli/dir/2022/2555/oj/eng" TargetMode="External"/><Relationship Id="rId9i-ll3lhm3b9qg9hkuuxh" Type="http://schemas.openxmlformats.org/officeDocument/2006/relationships/hyperlink" Target="https://ai-act-service-desk.ec.europa.eu" TargetMode="External"/><Relationship Id="rIdf0aosawjpu3-ipd2g7uxf" Type="http://schemas.openxmlformats.org/officeDocument/2006/relationships/hyperlink" Target="https://www.consilium.europa.eu/en/press/press-releases/2026/05/07/artificial-intelligence-council-and-parliament-agree-to-simplify-and-streamline-rules/" TargetMode="External"/><Relationship Id="rIdbkzhgcrmvavtgbwaflke6" Type="http://schemas.openxmlformats.org/officeDocument/2006/relationships/hyperlink" Target="https://www.eiopa.europa.eu/digital-operational-resilience-act-dora_en" TargetMode="External"/><Relationship Id="rId-mfc1o2p-55qzj3d2mi6q" Type="http://schemas.openxmlformats.org/officeDocument/2006/relationships/hyperlink" Target="https://www.dataprivacyframework.gov/list" TargetMode="External"/><Relationship Id="rIdsdubuwfaaaw0p7n9o7ras" Type="http://schemas.openxmlformats.org/officeDocument/2006/relationships/hyperlink" Target="https://www.dataprotection.gov.cy" TargetMode="External"/><Relationship Id="rId-kfabbped6zjpdb7h2eab" Type="http://schemas.openxmlformats.org/officeDocument/2006/relationships/hyperlink" Target="https://www.gov.cy/mof/en/insurance-companies-control-service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2026-06-05T22:37:04.628Z</dcterms:created>
  <dcterms:modified xsi:type="dcterms:W3CDTF">2026-06-05T22:37:04.628Z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