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pStyle w:val="Title"/>
        <w:spacing w:after="120"/>
      </w:pPr>
      <w:r>
        <w:t xml:space="preserve">Legal, Privacy &amp; Trust</w:t>
      </w:r>
    </w:p>
    <w:p>
      <w:pPr>
        <w:pBdr>
          <w:bottom w:val="single" w:color="2E75B6" w:sz="12" w:space="8"/>
        </w:pBdr>
        <w:spacing w:after="400"/>
      </w:pPr>
      <w:r>
        <w:rPr>
          <w:color w:val="555555"/>
          <w:sz w:val="26"/>
          <w:szCs w:val="26"/>
        </w:rPr>
        <w:t xml:space="preserve">Website page — publishable draft</w:t>
      </w:r>
    </w:p>
    <w:p>
      <w:pPr>
        <w:spacing w:after="60"/>
      </w:pPr>
      <w:r>
        <w:rPr>
          <w:b/>
          <w:bCs/>
        </w:rPr>
        <w:t xml:space="preserve">Prepared for: </w:t>
      </w:r>
      <w:r>
        <w:t xml:space="preserve">[Company Name] Ltd</w:t>
      </w:r>
    </w:p>
    <w:p>
      <w:pPr>
        <w:spacing w:after="60"/>
      </w:pPr>
      <w:r>
        <w:rPr>
          <w:b/>
          <w:bCs/>
        </w:rPr>
        <w:t xml:space="preserve">Use: </w:t>
      </w:r>
      <w:r>
        <w:t xml:space="preserve">Public website legal / trust page (draft for counsel)</w:t>
      </w:r>
    </w:p>
    <w:p>
      <w:pPr>
        <w:spacing w:after="60"/>
      </w:pPr>
      <w:r>
        <w:rPr>
          <w:b/>
          <w:bCs/>
        </w:rPr>
        <w:t xml:space="preserve">Version / date: </w:t>
      </w:r>
      <w:r>
        <w:t xml:space="preserve">Draft v1.0 — [date]</w:t>
      </w:r>
    </w:p>
    <w:p>
      <w:pPr>
        <w:pBdr>
          <w:left w:val="single" w:color="C8881B" w:sz="18" w:space="8"/>
        </w:pBdr>
        <w:shd w:fill="FDF1D6" w:val="clear"/>
        <w:spacing w:after="0" w:before="360"/>
      </w:pPr>
      <w:r>
        <w:rPr>
          <w:b/>
          <w:bCs/>
          <w:color w:val="8A5A00"/>
        </w:rPr>
        <w:t xml:space="preserve">IMPORTANT — NOT LEGAL ADVICE. </w:t>
      </w:r>
      <w:r>
        <w:rPr>
          <w:i/>
          <w:iCs/>
          <w:color w:val="5C4400"/>
        </w:rPr>
        <w:t xml:space="preserve">This document is a professional drafting template prepared to wrap up the project’s technical and regulatory work. It is not legal advice and is not a substitute for review by qualified Cyprus/EU counsel. Bracketed [PLACEHOLDERS] must be completed and every clause confirmed before use, filing, or publication.</w:t>
      </w:r>
    </w:p>
    <w:p>
      <w:r>
        <w:br w:type="page"/>
      </w:r>
    </w:p>
    <w:p>
      <w:pPr>
        <w:pBdr>
          <w:top w:val="single" w:color="E8C46B" w:sz="2" w:space="4"/>
          <w:bottom w:val="single" w:color="E8C46B" w:sz="2" w:space="4"/>
          <w:left w:val="single" w:color="C8881B" w:sz="18" w:space="8"/>
        </w:pBdr>
        <w:shd w:fill="FDF1D6" w:val="clear"/>
        <w:spacing w:after="140" w:before="100" w:line="260"/>
      </w:pPr>
      <w:r>
        <w:rPr>
          <w:b/>
          <w:bCs/>
          <w:color w:val="8A5A00"/>
        </w:rPr>
        <w:t xml:space="preserve">REVIEW NOTE: </w:t>
      </w:r>
      <w:r>
        <w:rPr>
          <w:i/>
          <w:iCs/>
          <w:color w:val="5C4400"/>
        </w:rPr>
        <w:t xml:space="preserve">Draft for publication — review with counsel first. Replace every [PLACEHOLDER]; claim only what can be evidenced; do not state a certification or transfer mechanism (e.g., the Data Privacy Framework) unless verified.</w:t>
      </w:r>
    </w:p>
    <w:p>
      <w:pPr>
        <w:pStyle w:val="Heading1"/>
      </w:pPr>
      <w:r>
        <w:t xml:space="preserve">Legal &amp; Privacy</w:t>
      </w:r>
    </w:p>
    <w:p>
      <w:pPr>
        <w:spacing w:after="120" w:line="264"/>
        <w:jc w:val="both"/>
      </w:pPr>
      <w:r>
        <w:t xml:space="preserve">[Company Name] (“we”, “us”) provides AI-powered assistant software to insurers and brokers. This page explains how we handle data, how our AI works, and the protections that apply. It complements our Terms of Service, Privacy Policy and Cookie Policy.</w:t>
      </w:r>
    </w:p>
    <w:p>
      <w:pPr>
        <w:spacing w:after="120" w:line="264"/>
        <w:jc w:val="both"/>
      </w:pPr>
      <w:r>
        <w:rPr>
          <w:b/>
          <w:bCs/>
        </w:rPr>
        <w:t xml:space="preserve">Last updated: </w:t>
      </w:r>
      <w:r>
        <w:t xml:space="preserve">[date]    </w:t>
      </w:r>
      <w:r>
        <w:rPr>
          <w:b/>
          <w:bCs/>
        </w:rPr>
        <w:t xml:space="preserve">Contact: </w:t>
      </w:r>
      <w:r>
        <w:t xml:space="preserve">[privacy@yourcompany.com]    </w:t>
      </w:r>
      <w:r>
        <w:rPr>
          <w:b/>
          <w:bCs/>
        </w:rPr>
        <w:t xml:space="preserve">Entity: </w:t>
      </w:r>
      <w:r>
        <w:t xml:space="preserve">[legal name, registration number, registered address, Cyprus].</w:t>
      </w:r>
    </w:p>
    <w:p>
      <w:pPr>
        <w:pStyle w:val="Heading2"/>
      </w:pPr>
      <w:r>
        <w:t xml:space="preserve">1. Our role</w:t>
      </w:r>
    </w:p>
    <w:p>
      <w:pPr>
        <w:spacing w:after="120" w:line="264"/>
        <w:jc w:val="both"/>
      </w:pPr>
      <w:r>
        <w:t xml:space="preserve">When a Client (insurer or broker) uses our software with their customers, the Client is the data controller and we act as a data processor on their behalf under a Data Processing Agreement, processing personal data only on the Client’s documented instructions.</w:t>
      </w:r>
    </w:p>
    <w:p>
      <w:pPr>
        <w:pStyle w:val="Heading2"/>
      </w:pPr>
      <w:r>
        <w:t xml:space="preserve">2. You are interacting with AI</w:t>
      </w:r>
    </w:p>
    <w:p>
      <w:pPr>
        <w:spacing w:after="120" w:line="264"/>
        <w:jc w:val="both"/>
      </w:pPr>
      <w:r>
        <w:t xml:space="preserve">Our assistants are artificial-intelligence systems. We make clear when you are communicating with AI rather than a person, you can ask for a human at any time, and any decision that significantly affects you involves human review on request.</w:t>
      </w:r>
    </w:p>
    <w:p>
      <w:pPr>
        <w:pStyle w:val="Heading2"/>
      </w:pPr>
      <w:r>
        <w:t xml:space="preserve">3. What we process and why</w:t>
      </w:r>
    </w:p>
    <w:p>
      <w:pPr>
        <w:spacing w:after="120" w:line="264"/>
        <w:jc w:val="both"/>
      </w:pPr>
      <w:r>
        <w:t xml:space="preserve">We process only the data needed to provide the assistant — your messages, limited configured context, and technical session data — and apply data minimisation. Where a service may involve sensitive information such as health data, we ask for your explicit consent first, and you may withdraw it at any time.</w:t>
      </w:r>
    </w:p>
    <w:p>
      <w:pPr>
        <w:pStyle w:val="Heading2"/>
      </w:pPr>
      <w:r>
        <w:t xml:space="preserve">4. Automated processing and human oversight</w:t>
      </w:r>
    </w:p>
    <w:p>
      <w:pPr>
        <w:spacing w:after="120" w:line="264"/>
        <w:jc w:val="both"/>
      </w:pPr>
      <w:r>
        <w:t xml:space="preserve">Our assistants do not make decisions producing legal or similarly significant effects about you on a solely automated basis. You may request human intervention, express your view, and obtain an explanation.</w:t>
      </w:r>
    </w:p>
    <w:p>
      <w:pPr>
        <w:pStyle w:val="Heading2"/>
      </w:pPr>
      <w:r>
        <w:t xml:space="preserve">5. Service providers (sub-processors)</w:t>
      </w:r>
    </w:p>
    <w:p>
      <w:pPr>
        <w:spacing w:after="120" w:line="264"/>
        <w:jc w:val="both"/>
      </w:pPr>
      <w:r>
        <w:t xml:space="preserve">We use selected sub-processors, including Voiceflow (the conversational AI platform) and its underlying AI model provider. A current sub-processor list is available at [link]; we notify Clients of changes under our Data Processing Agreement.</w:t>
      </w:r>
    </w:p>
    <w:p>
      <w:pPr>
        <w:pStyle w:val="Heading2"/>
      </w:pPr>
      <w:r>
        <w:t xml:space="preserve">6. International data transfers</w:t>
      </w:r>
    </w:p>
    <w:p>
      <w:pPr>
        <w:spacing w:after="120" w:line="264"/>
        <w:jc w:val="both"/>
      </w:pPr>
      <w:r>
        <w:t xml:space="preserve">Some sub-processors are based outside the EEA, including in the United States. Where personal data is transferred outside the EEA we rely on appropriate safeguards — principally the European Commission’s Standard Contractual Clauses, supported by a Transfer Impact Assessment and any necessary supplementary measures. [Describe any EU data-residency option offered.]</w:t>
      </w:r>
    </w:p>
    <w:p>
      <w:pPr>
        <w:pStyle w:val="Heading2"/>
      </w:pPr>
      <w:r>
        <w:t xml:space="preserve">7. Security</w:t>
      </w:r>
    </w:p>
    <w:p>
      <w:pPr>
        <w:spacing w:after="120" w:line="264"/>
        <w:jc w:val="both"/>
      </w:pPr>
      <w:r>
        <w:t xml:space="preserve">We protect data with measures appropriate to the risk, including [encryption in transit, access controls, audit logging, and the specific measures you implement]. Our conversational AI sub-processor maintains SOC 2 Type II, ISO/IEC 27001:2022, GDPR and HIPAA programmes and encrypts data at rest. [State only measures and certifications you can evidence.]</w:t>
      </w:r>
    </w:p>
    <w:p>
      <w:pPr>
        <w:pStyle w:val="Heading2"/>
      </w:pPr>
      <w:r>
        <w:t xml:space="preserve">8. Your data-protection rights</w:t>
      </w:r>
    </w:p>
    <w:p>
      <w:pPr>
        <w:spacing w:after="120" w:line="264"/>
        <w:jc w:val="both"/>
      </w:pPr>
      <w:r>
        <w:t xml:space="preserve">Subject to applicable law, you may request access, rectification, erasure, restriction, or portability of your personal data, and object to certain processing. As processor we forward requests to the relevant Client (controller) and support them, or act on the Client’s instructions. Contact [privacy@yourcompany.com] or the relevant Client.</w:t>
      </w:r>
    </w:p>
    <w:p>
      <w:pPr>
        <w:pStyle w:val="Heading2"/>
      </w:pPr>
      <w:r>
        <w:t xml:space="preserve">9. Data retention</w:t>
      </w:r>
    </w:p>
    <w:p>
      <w:pPr>
        <w:spacing w:after="120" w:line="264"/>
        <w:jc w:val="both"/>
      </w:pPr>
      <w:r>
        <w:t xml:space="preserve">We retain personal data only as long as necessary or as instructed by the Client, after which it is deleted or anonymised. Periods are set out in our Data Processing Agreement and [retention schedule link].</w:t>
      </w:r>
    </w:p>
    <w:p>
      <w:pPr>
        <w:pStyle w:val="Heading2"/>
      </w:pPr>
      <w:r>
        <w:t xml:space="preserve">10. Accessibility</w:t>
      </w:r>
    </w:p>
    <w:p>
      <w:pPr>
        <w:spacing w:after="120" w:line="264"/>
        <w:jc w:val="both"/>
      </w:pPr>
      <w:r>
        <w:t xml:space="preserve">We are committed to accessibility and aim to conform to EN 301 549 / WCAG 2.1 Level AA, in line with the European Accessibility Act. If you encounter a barrier, contact [accessibility@yourcompany.com]. [State the date of your last accessibility review.]</w:t>
      </w:r>
    </w:p>
    <w:p>
      <w:pPr>
        <w:pStyle w:val="Heading2"/>
      </w:pPr>
      <w:r>
        <w:t xml:space="preserve">11. Cookies</w:t>
      </w:r>
    </w:p>
    <w:p>
      <w:pPr>
        <w:spacing w:after="120" w:line="264"/>
        <w:jc w:val="both"/>
      </w:pPr>
      <w:r>
        <w:t xml:space="preserve">Our chat interface uses only strictly-necessary storage by default. Any non-essential cookies or analytics are used only with your consent, which you can manage at [cookie settings link].</w:t>
      </w:r>
    </w:p>
    <w:p>
      <w:pPr>
        <w:pStyle w:val="Heading2"/>
      </w:pPr>
      <w:r>
        <w:t xml:space="preserve">12. Financial-sector clients (DORA)</w:t>
      </w:r>
    </w:p>
    <w:p>
      <w:pPr>
        <w:spacing w:after="120" w:line="264"/>
        <w:jc w:val="both"/>
      </w:pPr>
      <w:r>
        <w:t xml:space="preserve">We recognise that insurer and broker Clients are subject to DORA (Regulation (EU) 2022/2554). We support their obligations through DORA-aligned contractual terms, sub-processor transparency, data-location disclosure, incident assistance, and exit/portability.</w:t>
      </w:r>
    </w:p>
    <w:p>
      <w:pPr>
        <w:pStyle w:val="Heading2"/>
      </w:pPr>
      <w:r>
        <w:t xml:space="preserve">13. Contact</w:t>
      </w:r>
    </w:p>
    <w:p>
      <w:pPr>
        <w:spacing w:after="120" w:line="264"/>
        <w:jc w:val="both"/>
      </w:pPr>
      <w:r>
        <w:t xml:space="preserve">For privacy questions or to exercise your rights: [privacy@yourcompany.com]. [If appointed: Data Protection Officer contact. If applicable: EU/representative details.]</w:t>
      </w:r>
    </w:p>
    <w:p>
      <w:pPr>
        <w:pStyle w:val="Heading2"/>
      </w:pPr>
      <w:r>
        <w:t xml:space="preserve">14. Changes</w:t>
      </w:r>
    </w:p>
    <w:p>
      <w:pPr>
        <w:spacing w:after="120" w:line="264"/>
        <w:jc w:val="both"/>
      </w:pPr>
      <w:r>
        <w:t xml:space="preserve">We may update this page from time to time; the “last updated” date reflects the current version.</w:t>
      </w:r>
    </w:p>
    <w:p>
      <w:pPr>
        <w:pStyle w:val="Heading1"/>
      </w:pPr>
      <w:r>
        <w:t xml:space="preserve">Pre-publication checklist (remove before publishing)</w:t>
      </w:r>
    </w:p>
    <w:p>
      <w:pPr>
        <w:pStyle w:val="ListParagraph"/>
        <w:numPr>
          <w:ilvl w:val="0"/>
          <w:numId w:val="2"/>
        </w:numPr>
        <w:spacing w:after="70" w:line="260"/>
      </w:pPr>
      <w:r>
        <w:t xml:space="preserve">All [placeholders] replaced with accurate, evidenced information.</w:t>
      </w:r>
    </w:p>
    <w:p>
      <w:pPr>
        <w:pStyle w:val="ListParagraph"/>
        <w:numPr>
          <w:ilvl w:val="0"/>
          <w:numId w:val="2"/>
        </w:numPr>
        <w:spacing w:after="70" w:line="260"/>
      </w:pPr>
      <w:r>
        <w:t xml:space="preserve">Controller/processor roles confirmed with counsel.</w:t>
      </w:r>
    </w:p>
    <w:p>
      <w:pPr>
        <w:pStyle w:val="ListParagraph"/>
        <w:numPr>
          <w:ilvl w:val="0"/>
          <w:numId w:val="2"/>
        </w:numPr>
        <w:spacing w:after="70" w:line="260"/>
      </w:pPr>
      <w:r>
        <w:t xml:space="preserve">Security/certification claims limited to what can be proven.</w:t>
      </w:r>
    </w:p>
    <w:p>
      <w:pPr>
        <w:pStyle w:val="ListParagraph"/>
        <w:numPr>
          <w:ilvl w:val="0"/>
          <w:numId w:val="2"/>
        </w:numPr>
        <w:spacing w:after="70" w:line="260"/>
      </w:pPr>
      <w:r>
        <w:t xml:space="preserve">Transfer mechanism confirmed (SCCs + TIA; do not claim DPF unless verified).</w:t>
      </w:r>
    </w:p>
    <w:p>
      <w:pPr>
        <w:pStyle w:val="ListParagraph"/>
        <w:numPr>
          <w:ilvl w:val="0"/>
          <w:numId w:val="2"/>
        </w:numPr>
        <w:spacing w:after="70" w:line="260"/>
      </w:pPr>
      <w:r>
        <w:t xml:space="preserve">Sub-processor list published and linked; accessibility statement reflects a real WCAG 2.1 AA review.</w:t>
      </w:r>
    </w:p>
    <w:p>
      <w:pPr>
        <w:pStyle w:val="ListParagraph"/>
        <w:numPr>
          <w:ilvl w:val="0"/>
          <w:numId w:val="2"/>
        </w:numPr>
        <w:spacing w:after="70" w:line="260"/>
      </w:pPr>
      <w:r>
        <w:t xml:space="preserve">Terms of Service, Privacy Policy and Cookie Policy exist and are consistent.</w:t>
      </w:r>
    </w:p>
    <w:p>
      <w:pPr>
        <w:pStyle w:val="ListParagraph"/>
        <w:numPr>
          <w:ilvl w:val="0"/>
          <w:numId w:val="2"/>
        </w:numPr>
        <w:spacing w:after="70" w:line="260"/>
      </w:pPr>
      <w:r>
        <w:t xml:space="preserve">Reviewed and approved by qualified Cyprus/EU counsel.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before="0"/>
    </w:pPr>
    <w:r>
      <w:rPr>
        <w:color w:val="999999"/>
        <w:sz w:val="14"/>
        <w:szCs w:val="14"/>
      </w:rPr>
      <w:t xml:space="preserve">DRAFT FOR LEGAL REVIEW — NOT LEGAL ADVICE — PRIVILEGED &amp; CONFIDENTIAL</w:t>
    </w:r>
    <w:r>
      <w:rPr>
        <w:color w:val="999999"/>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color w:val="888888"/>
        <w:sz w:val="16"/>
        <w:szCs w:val="16"/>
      </w:rPr>
      <w:t xml:space="preserve">Legal, Privacy &amp; Trust — Website Page</w:t>
    </w:r>
    <w:r>
      <w:rPr>
        <w:color w:val="888888"/>
        <w:sz w:val="16"/>
        <w:szCs w:val="16"/>
      </w:rPr>
      <w:t xml:space="preserve">	[COMPANY NAME]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1F3864"/>
      <w:sz w:val="52"/>
      <w:szCs w:val="52"/>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4B7A"/>
      <w:sz w:val="25"/>
      <w:szCs w:val="25"/>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2026-06-05T22:37:04.633Z</dcterms:created>
  <dcterms:modified xsi:type="dcterms:W3CDTF">2026-06-05T22:37:04.633Z</dcterms:modified>
</cp:coreProperties>
</file>

<file path=docProps/custom.xml><?xml version="1.0" encoding="utf-8"?>
<Properties xmlns="http://schemas.openxmlformats.org/officeDocument/2006/custom-properties" xmlns:vt="http://schemas.openxmlformats.org/officeDocument/2006/docPropsVTypes"/>
</file>