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pStyle w:val="Title"/>
        <w:spacing w:after="120"/>
      </w:pPr>
      <w:r>
        <w:t xml:space="preserve">Legal, Compliance &amp; Contractual Framework</w:t>
      </w:r>
    </w:p>
    <w:p>
      <w:pPr>
        <w:pBdr>
          <w:bottom w:val="single" w:color="2E75B6" w:sz="12" w:space="8"/>
        </w:pBdr>
        <w:spacing w:after="400"/>
      </w:pPr>
      <w:r>
        <w:rPr>
          <w:color w:val="555555"/>
          <w:sz w:val="26"/>
          <w:szCs w:val="26"/>
        </w:rPr>
        <w:t xml:space="preserve">Multi-Sector AI Assistant Platform for European Businesses</w:t>
      </w:r>
    </w:p>
    <w:p>
      <w:pPr>
        <w:spacing w:after="60"/>
      </w:pPr>
      <w:r>
        <w:rPr>
          <w:b/>
          <w:bCs/>
        </w:rPr>
        <w:t xml:space="preserve">Prepared for: </w:t>
      </w:r>
      <w:r>
        <w:t xml:space="preserve">[Company Name] Ltd, Nicosia, Cyprus</w:t>
      </w:r>
    </w:p>
    <w:p>
      <w:pPr>
        <w:spacing w:after="60"/>
      </w:pPr>
      <w:r>
        <w:rPr>
          <w:b/>
          <w:bCs/>
        </w:rPr>
        <w:t xml:space="preserve">Document type: </w:t>
      </w:r>
      <w:r>
        <w:t xml:space="preserve">Compliance framework + contract templates (Data Processing Agreement; Terms of Service)</w:t>
      </w:r>
    </w:p>
    <w:p>
      <w:pPr>
        <w:spacing w:after="60"/>
      </w:pPr>
      <w:r>
        <w:rPr>
          <w:b/>
          <w:bCs/>
        </w:rPr>
        <w:t xml:space="preserve">Audience: </w:t>
      </w:r>
      <w:r>
        <w:t xml:space="preserve">Clients (businesses across sectors) and their counsel</w:t>
      </w:r>
    </w:p>
    <w:p>
      <w:pPr>
        <w:spacing w:after="60"/>
      </w:pPr>
      <w:r>
        <w:rPr>
          <w:b/>
          <w:bCs/>
        </w:rPr>
        <w:t xml:space="preserve">Version / date: </w:t>
      </w:r>
      <w:r>
        <w:t xml:space="preserve">Draft v1.0 — [date]</w:t>
      </w:r>
    </w:p>
    <w:p>
      <w:pPr>
        <w:spacing w:after="60"/>
      </w:pPr>
      <w:r>
        <w:rPr>
          <w:b/>
          <w:bCs/>
        </w:rPr>
        <w:t xml:space="preserve">Governing law: </w:t>
      </w:r>
      <w:r>
        <w:t xml:space="preserve">Republic of Cyprus; European Union law</w:t>
      </w:r>
    </w:p>
    <w:p>
      <w:pPr>
        <w:pBdr>
          <w:left w:val="single" w:color="C8881B" w:sz="18" w:space="8"/>
        </w:pBdr>
        <w:shd w:fill="FDF1D6" w:val="clear"/>
        <w:spacing w:after="0" w:before="360"/>
      </w:pPr>
      <w:r>
        <w:rPr>
          <w:b/>
          <w:bCs/>
          <w:color w:val="8A5A00"/>
        </w:rPr>
        <w:t xml:space="preserve">IMPORTANT — NOT LEGAL ADVICE. </w:t>
      </w:r>
      <w:r>
        <w:rPr>
          <w:i/>
          <w:iCs/>
          <w:color w:val="5C4400"/>
        </w:rPr>
        <w:t xml:space="preserve">This document is a professional drafting template prepared to wrap up the project’s technical and regulatory work. It is not legal advice and is not a substitute for review by qualified Cyprus/EU counsel. Bracketed [PLACEHOLDERS] must be completed and every clause confirmed before use, filing, or publication.</w:t>
      </w:r>
    </w:p>
    <w:p>
      <w:r>
        <w:br w:type="page"/>
      </w:r>
    </w:p>
    <w:p>
      <w:pPr>
        <w:pStyle w:val="Heading1"/>
      </w:pPr>
      <w:r>
        <w:t xml:space="preserve">Table of Contents</w:t>
      </w:r>
    </w:p>
    <w:sdt>
      <w:sdtPr>
        <w:alias w:val="Right-click and choose ‘Update Field’ to populat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Part A — Compliance &amp; Legal Framework</w:t>
      </w:r>
    </w:p>
    <w:p>
      <w:pPr>
        <w:pStyle w:val="Heading2"/>
      </w:pPr>
      <w:r>
        <w:t xml:space="preserve">A1. Purpose and scope</w:t>
      </w:r>
    </w:p>
    <w:p>
      <w:pPr>
        <w:spacing w:after="120" w:line="264"/>
        <w:jc w:val="both"/>
      </w:pPr>
      <w:r>
        <w:t xml:space="preserve">This framework consolidates the technical architecture, operational model, and European regulatory position of the AI assistant platform operated by [Company Name] Ltd (the “Platform”, “we”, “us”), a company established in Nicosia, Cyprus. It is written for prospective and existing clients — businesses across sectors (“Clients”), including e-commerce &amp; retail, financial services &amp; insurance, healthcare, legal &amp; professional services, travel &amp; hospitality, telecoms &amp; utilities, real estate, and education — and their advisers, and it underpins the contract templates in Part B.</w:t>
      </w:r>
    </w:p>
    <w:p>
      <w:pPr>
        <w:pBdr>
          <w:top w:val="single" w:color="E8C46B" w:sz="2" w:space="4"/>
          <w:bottom w:val="single" w:color="E8C46B" w:sz="2" w:space="4"/>
          <w:left w:val="single" w:color="C8881B" w:sz="18" w:space="8"/>
        </w:pBdr>
        <w:shd w:fill="FDF1D6" w:val="clear"/>
        <w:spacing w:after="140" w:before="100" w:line="260"/>
      </w:pPr>
      <w:r>
        <w:rPr>
          <w:b/>
          <w:bCs/>
          <w:color w:val="8A5A00"/>
        </w:rPr>
        <w:t xml:space="preserve">REVIEW NOTE: </w:t>
      </w:r>
      <w:r>
        <w:rPr>
          <w:i/>
          <w:iCs/>
          <w:color w:val="5C4400"/>
        </w:rPr>
        <w:t xml:space="preserve">This is a drafting template, not legal advice. A qualified Cyprus/EU lawyer must review and adapt it before it is relied upon. Bracketed values must be completed.</w:t>
      </w:r>
    </w:p>
    <w:p>
      <w:pPr>
        <w:pStyle w:val="Heading2"/>
      </w:pPr>
      <w:r>
        <w:t xml:space="preserve">A2. The Platform in summary</w:t>
      </w:r>
    </w:p>
    <w:p>
      <w:pPr>
        <w:spacing w:after="120" w:line="264"/>
        <w:jc w:val="both"/>
      </w:pPr>
      <w:r>
        <w:t xml:space="preserve">The Platform provides white-label conversational AI assistants for Client-facing use cases — customer service and support, intake and triage (e.g., claims intake, service requests), product and FAQ Q&amp;A, lead qualification, and booking/scheduling — deployable across sectors including e-commerce &amp; retail, financial services &amp; insurance, healthcare, legal &amp; professional services, travel &amp; hospitality, telecoms &amp; utilities, real estate, and education. Each Client receives a private, branded assistant. The Platform deliberately does not provide AI for any use classified as high-risk under EU AI Act Annex III — including recruitment or employee screening, educational assessment, credit scoring, life/health insurance risk assessment, pricing or underwriting, and eligibility decisions for essential services (see A6.2).</w:t>
      </w:r>
    </w:p>
    <w:p>
      <w:pPr>
        <w:pStyle w:val="ListParagraph"/>
        <w:numPr>
          <w:ilvl w:val="0"/>
          <w:numId w:val="2"/>
        </w:numPr>
        <w:spacing w:after="70" w:line="260"/>
      </w:pPr>
      <w:r>
        <w:t xml:space="preserve">Conversation engine: the Platform is built on Voiceflow as the underlying conversational AI engine, accessed exclusively through the Platform’s own server-side integration.</w:t>
      </w:r>
    </w:p>
    <w:p>
      <w:pPr>
        <w:pStyle w:val="ListParagraph"/>
        <w:numPr>
          <w:ilvl w:val="0"/>
          <w:numId w:val="2"/>
        </w:numPr>
        <w:spacing w:after="70" w:line="260"/>
      </w:pPr>
      <w:r>
        <w:t xml:space="preserve">Application stack: a Laravel (PHP) application implements all Client-facing functionality — onboarding, the branded chat interface, billing, dashboards, and the compliance controls in A7.</w:t>
      </w:r>
    </w:p>
    <w:p>
      <w:pPr>
        <w:pStyle w:val="ListParagraph"/>
        <w:numPr>
          <w:ilvl w:val="0"/>
          <w:numId w:val="2"/>
        </w:numPr>
        <w:spacing w:after="70" w:line="260"/>
      </w:pPr>
      <w:r>
        <w:t xml:space="preserve">Engine independence: all application logic depends on a single internal interface (the “engine seam”); only one component is aware of Voiceflow, so the engine can be replaced without rebuilding the Platform.</w:t>
      </w:r>
    </w:p>
    <w:p>
      <w:pPr>
        <w:pStyle w:val="Heading2"/>
      </w:pPr>
      <w:r>
        <w:t xml:space="preserve">A3. Architecture</w:t>
      </w:r>
    </w:p>
    <w:p>
      <w:pPr>
        <w:spacing w:after="120" w:line="264"/>
        <w:jc w:val="both"/>
      </w:pPr>
      <w:r>
        <w:t xml:space="preserve">The Platform is organised around an abstraction (the “AssistantEngine” contract) that isolates the conversation engine. Provisioning and runtime both pass through this seam, and the Voiceflow API credential is held only on the Platform’s servers and is never exposed to browsers or end-users.</w:t>
      </w:r>
    </w:p>
    <w:p>
      <w:pPr>
        <w:pStyle w:val="Heading3"/>
      </w:pPr>
      <w:r>
        <w:t xml:space="preserve">Provisioning (once per Client)</w:t>
      </w:r>
    </w:p>
    <w:p>
      <w:pPr>
        <w:spacing w:after="120" w:line="264"/>
        <w:jc w:val="both"/>
      </w:pPr>
      <w:r>
        <w:t xml:space="preserve">On Client onboarding, the Platform asynchronously clones a template assistant environment, publishes it, and applies the Client’s configuration and credentials. Onboarding returns immediately; provisioning completes in the background and the Client’s status moves to ‘ready’ (or ‘failed’, with retry).</w:t>
      </w:r>
    </w:p>
    <w:p>
      <w:pPr>
        <w:pStyle w:val="Heading3"/>
      </w:pPr>
      <w:r>
        <w:t xml:space="preserve">Runtime (each interaction)</w:t>
      </w:r>
    </w:p>
    <w:p>
      <w:pPr>
        <w:spacing w:after="120" w:line="264"/>
        <w:jc w:val="both"/>
      </w:pPr>
      <w:r>
        <w:t xml:space="preserve">End-user messages travel from the branded interface to the Platform’s server-side proxy, which calls the engine and returns normalised responses. The end-user never communicates with Voiceflow directly; no engine branding or credential is exposed.</w:t>
      </w:r>
    </w:p>
    <w:p>
      <w:pPr>
        <w:pStyle w:val="Heading2"/>
      </w:pPr>
      <w:r>
        <w:t xml:space="preserve">A4. Commercial and billing model</w:t>
      </w:r>
    </w:p>
    <w:p>
      <w:pPr>
        <w:spacing w:after="120" w:line="264"/>
        <w:jc w:val="both"/>
      </w:pPr>
      <w:r>
        <w:t xml:space="preserve">The underlying engine is billed to the Platform at the organisation level — a single subscription plus a shared, usage-based credit pool, with optional add-ons; there is no per-Client engine subscription. The Platform operates its own separate credit ledger for Clients, meters usage per interaction, enforces per-Client limits, and reconciles against actual engine consumption. Client charges, limits, and any auto-replenishment are governed by the Terms of Service (Part B, Schedule 2).</w:t>
      </w:r>
    </w:p>
    <w:p>
      <w:pPr>
        <w:pStyle w:val="Heading2"/>
      </w:pPr>
      <w:r>
        <w:t xml:space="preserve">A5. Information security</w:t>
      </w:r>
    </w:p>
    <w:p>
      <w:pPr>
        <w:pStyle w:val="ListParagraph"/>
        <w:numPr>
          <w:ilvl w:val="0"/>
          <w:numId w:val="2"/>
        </w:numPr>
        <w:spacing w:after="70" w:line="260"/>
      </w:pPr>
      <w:r>
        <w:t xml:space="preserve">Credentials: the engine API credential is stored server-side only, rotated on a scheduled basis, and never disclosed in responses, interfaces, logs, or source control.</w:t>
      </w:r>
    </w:p>
    <w:p>
      <w:pPr>
        <w:pStyle w:val="ListParagraph"/>
        <w:numPr>
          <w:ilvl w:val="0"/>
          <w:numId w:val="2"/>
        </w:numPr>
        <w:spacing w:after="70" w:line="260"/>
      </w:pPr>
      <w:r>
        <w:t xml:space="preserve">Tenant isolation: each Client operates in a separate assistant environment; access is authorised against the authenticated account, and the per-Client usage limit prevents one Client from exhausting shared engine capacity.</w:t>
      </w:r>
    </w:p>
    <w:p>
      <w:pPr>
        <w:pStyle w:val="ListParagraph"/>
        <w:numPr>
          <w:ilvl w:val="0"/>
          <w:numId w:val="2"/>
        </w:numPr>
        <w:spacing w:after="70" w:line="260"/>
      </w:pPr>
      <w:r>
        <w:t xml:space="preserve">Data protection in transit and at rest: encryption in transit (TLS); encryption at rest and key management as implemented by the Platform and its sub-processors.</w:t>
      </w:r>
    </w:p>
    <w:p>
      <w:pPr>
        <w:pStyle w:val="ListParagraph"/>
        <w:numPr>
          <w:ilvl w:val="0"/>
          <w:numId w:val="2"/>
        </w:numPr>
        <w:spacing w:after="70" w:line="260"/>
      </w:pPr>
      <w:r>
        <w:t xml:space="preserve">Personal-data redaction: production transcripts are subject to automated PII redaction at the engine layer; because that redaction is limited to English, the Platform additionally minimises personal-data capture and applies its own redaction before logging.</w:t>
      </w:r>
    </w:p>
    <w:p>
      <w:pPr>
        <w:pStyle w:val="ListParagraph"/>
        <w:numPr>
          <w:ilvl w:val="0"/>
          <w:numId w:val="2"/>
        </w:numPr>
        <w:spacing w:after="70" w:line="260"/>
      </w:pPr>
      <w:r>
        <w:t xml:space="preserve">Application controls: rate limiting, input validation, signed session tokens for the chat interface, dashboard authentication, webhook verification, audit logging, and monitoring with alerting.</w:t>
      </w:r>
    </w:p>
    <w:p>
      <w:pPr>
        <w:spacing w:after="120" w:line="264"/>
        <w:jc w:val="both"/>
      </w:pPr>
      <w:r>
        <w:rPr>
          <w:b/>
          <w:bCs/>
        </w:rPr>
        <w:t xml:space="preserve">Sub-processor assurances (validated). </w:t>
      </w:r>
      <w:r>
        <w:t xml:space="preserve">The conversation engine provider (Voiceflow) publicly maintains SOC 2 Type II, ISO/IEC 27001:2022, GDPR, and HIPAA programmes, with encryption at rest using customer-managed keys, TLS/mTLS, multi-availability-zone hosting, tested disaster recovery, and external penetration testing. The Platform’s own certifications are [state only those actually held].</w:t>
      </w:r>
    </w:p>
    <w:p>
      <w:pPr>
        <w:pBdr>
          <w:top w:val="single" w:color="E8C46B" w:sz="2" w:space="4"/>
          <w:bottom w:val="single" w:color="E8C46B" w:sz="2" w:space="4"/>
          <w:left w:val="single" w:color="C8881B" w:sz="18" w:space="8"/>
        </w:pBdr>
        <w:shd w:fill="FDF1D6" w:val="clear"/>
        <w:spacing w:after="140" w:before="100" w:line="260"/>
      </w:pPr>
      <w:r>
        <w:rPr>
          <w:b/>
          <w:bCs/>
          <w:color w:val="8A5A00"/>
        </w:rPr>
        <w:t xml:space="preserve">REVIEW NOTE: </w:t>
      </w:r>
      <w:r>
        <w:rPr>
          <w:i/>
          <w:iCs/>
          <w:color w:val="5C4400"/>
        </w:rPr>
        <w:t xml:space="preserve">State only security measures and certifications the Platform can actually evidence. Do not claim a certification or framework membership the Platform does not hold.</w:t>
      </w:r>
    </w:p>
    <w:p>
      <w:pPr>
        <w:pStyle w:val="Heading2"/>
      </w:pPr>
      <w:r>
        <w:t xml:space="preserve">A6. European regulatory position</w:t>
      </w:r>
    </w:p>
    <w:p>
      <w:pPr>
        <w:spacing w:after="120" w:line="264"/>
        <w:jc w:val="both"/>
      </w:pPr>
      <w:r>
        <w:t xml:space="preserve">The Platform processes the personal data of EU residents on behalf of Clients, some of whom are regulated entities. The GDPR, the EU AI Act, the European Accessibility Act and transfer rules apply to every engagement; sector regimes (DORA, IDD, healthcare, consumer-protection and professional-conduct rules) apply conditionally, per Client. The parties’ roles across the applicable regimes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0"/>
            </w:pPr>
            <w:r>
              <w:rPr>
                <w:b/>
                <w:bCs/>
                <w:color w:val="FFFFFF"/>
              </w:rPr>
              <w:t xml:space="preserve">Regime</w:t>
            </w:r>
          </w:p>
        </w:tc>
        <w:tc>
          <w:tcPr>
            <w:tcW w:type="dxa" w:w="3213"/>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0"/>
            </w:pPr>
            <w:r>
              <w:rPr>
                <w:b/>
                <w:bCs/>
                <w:color w:val="FFFFFF"/>
              </w:rPr>
              <w:t xml:space="preserve">Client (the business)</w:t>
            </w:r>
          </w:p>
        </w:tc>
        <w:tc>
          <w:tcPr>
            <w:tcW w:type="dxa" w:w="3213"/>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0"/>
            </w:pPr>
            <w:r>
              <w:rPr>
                <w:b/>
                <w:bCs/>
                <w:color w:val="FFFFFF"/>
              </w:rPr>
              <w:t xml:space="preserve">[Company Name] (the platform)</w:t>
            </w:r>
          </w:p>
        </w:tc>
      </w:tr>
      <w:tr>
        <w:trPr>
          <w:tblHeader w:val="false"/>
        </w:trPr>
        <w:tc>
          <w:tcPr>
            <w:tcW w:type="dxa" w:w="2600"/>
            <w:tcBorders>
              <w:top w:val="single" w:color="BBBBBB" w:sz="1"/>
              <w:left w:val="single" w:color="BBBBBB" w:sz="1"/>
              <w:bottom w:val="single" w:color="BBBBBB" w:sz="1"/>
              <w:right w:val="single" w:color="BBBBBB" w:sz="1"/>
            </w:tcBorders>
            <w:shd w:fill="F3F6FB" w:val="clear"/>
            <w:tcMar>
              <w:top w:type="dxa" w:w="60"/>
              <w:left w:type="dxa" w:w="110"/>
              <w:bottom w:type="dxa" w:w="60"/>
              <w:right w:type="dxa" w:w="110"/>
            </w:tcMar>
          </w:tcPr>
          <w:p>
            <w:pPr>
              <w:spacing w:after="0" w:line="250"/>
            </w:pPr>
            <w:r>
              <w:t xml:space="preserve">GDPR (Reg. 2016/679)</w:t>
            </w:r>
          </w:p>
        </w:tc>
        <w:tc>
          <w:tcPr>
            <w:tcW w:type="dxa" w:w="3213"/>
            <w:tcBorders>
              <w:top w:val="single" w:color="BBBBBB" w:sz="1"/>
              <w:left w:val="single" w:color="BBBBBB" w:sz="1"/>
              <w:bottom w:val="single" w:color="BBBBBB" w:sz="1"/>
              <w:right w:val="single" w:color="BBBBBB" w:sz="1"/>
            </w:tcBorders>
            <w:shd w:fill="F3F6FB" w:val="clear"/>
            <w:tcMar>
              <w:top w:type="dxa" w:w="60"/>
              <w:left w:type="dxa" w:w="110"/>
              <w:bottom w:type="dxa" w:w="60"/>
              <w:right w:type="dxa" w:w="110"/>
            </w:tcMar>
          </w:tcPr>
          <w:p>
            <w:pPr>
              <w:spacing w:after="0" w:line="250"/>
            </w:pPr>
            <w:r>
              <w:t xml:space="preserve">Data controller</w:t>
            </w:r>
          </w:p>
        </w:tc>
        <w:tc>
          <w:tcPr>
            <w:tcW w:type="dxa" w:w="3213"/>
            <w:tcBorders>
              <w:top w:val="single" w:color="BBBBBB" w:sz="1"/>
              <w:left w:val="single" w:color="BBBBBB" w:sz="1"/>
              <w:bottom w:val="single" w:color="BBBBBB" w:sz="1"/>
              <w:right w:val="single" w:color="BBBBBB" w:sz="1"/>
            </w:tcBorders>
            <w:shd w:fill="F3F6FB" w:val="clear"/>
            <w:tcMar>
              <w:top w:type="dxa" w:w="60"/>
              <w:left w:type="dxa" w:w="110"/>
              <w:bottom w:type="dxa" w:w="60"/>
              <w:right w:type="dxa" w:w="110"/>
            </w:tcMar>
          </w:tcPr>
          <w:p>
            <w:pPr>
              <w:spacing w:after="0" w:line="250"/>
            </w:pPr>
            <w:r>
              <w:t xml:space="preserve">Data processor</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t xml:space="preserve">EU AI Act (Reg. 2024/1689)</w:t>
            </w:r>
          </w:p>
        </w:tc>
        <w:tc>
          <w:tcPr>
            <w:tcW w:type="dxa" w:w="32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t xml:space="preserve">Deployer</w:t>
            </w:r>
          </w:p>
        </w:tc>
        <w:tc>
          <w:tcPr>
            <w:tcW w:type="dxa" w:w="32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t xml:space="preserve">Provider</w:t>
            </w:r>
          </w:p>
        </w:tc>
      </w:tr>
      <w:tr>
        <w:trPr>
          <w:tblHeader w:val="false"/>
        </w:trPr>
        <w:tc>
          <w:tcPr>
            <w:tcW w:type="dxa" w:w="2600"/>
            <w:tcBorders>
              <w:top w:val="single" w:color="BBBBBB" w:sz="1"/>
              <w:left w:val="single" w:color="BBBBBB" w:sz="1"/>
              <w:bottom w:val="single" w:color="BBBBBB" w:sz="1"/>
              <w:right w:val="single" w:color="BBBBBB" w:sz="1"/>
            </w:tcBorders>
            <w:shd w:fill="F3F6FB" w:val="clear"/>
            <w:tcMar>
              <w:top w:type="dxa" w:w="60"/>
              <w:left w:type="dxa" w:w="110"/>
              <w:bottom w:type="dxa" w:w="60"/>
              <w:right w:type="dxa" w:w="110"/>
            </w:tcMar>
          </w:tcPr>
          <w:p>
            <w:pPr>
              <w:spacing w:after="0" w:line="250"/>
            </w:pPr>
            <w:r>
              <w:t xml:space="preserve">DORA (Reg. 2022/2554) — financial-sector Clients only</w:t>
            </w:r>
          </w:p>
        </w:tc>
        <w:tc>
          <w:tcPr>
            <w:tcW w:type="dxa" w:w="3213"/>
            <w:tcBorders>
              <w:top w:val="single" w:color="BBBBBB" w:sz="1"/>
              <w:left w:val="single" w:color="BBBBBB" w:sz="1"/>
              <w:bottom w:val="single" w:color="BBBBBB" w:sz="1"/>
              <w:right w:val="single" w:color="BBBBBB" w:sz="1"/>
            </w:tcBorders>
            <w:shd w:fill="F3F6FB" w:val="clear"/>
            <w:tcMar>
              <w:top w:type="dxa" w:w="60"/>
              <w:left w:type="dxa" w:w="110"/>
              <w:bottom w:type="dxa" w:w="60"/>
              <w:right w:type="dxa" w:w="110"/>
            </w:tcMar>
          </w:tcPr>
          <w:p>
            <w:pPr>
              <w:spacing w:after="0" w:line="250"/>
            </w:pPr>
            <w:r>
              <w:t xml:space="preserve">Financial entity (insurer, bank, investment firm, payment institution)</w:t>
            </w:r>
          </w:p>
        </w:tc>
        <w:tc>
          <w:tcPr>
            <w:tcW w:type="dxa" w:w="3213"/>
            <w:tcBorders>
              <w:top w:val="single" w:color="BBBBBB" w:sz="1"/>
              <w:left w:val="single" w:color="BBBBBB" w:sz="1"/>
              <w:bottom w:val="single" w:color="BBBBBB" w:sz="1"/>
              <w:right w:val="single" w:color="BBBBBB" w:sz="1"/>
            </w:tcBorders>
            <w:shd w:fill="F3F6FB" w:val="clear"/>
            <w:tcMar>
              <w:top w:type="dxa" w:w="60"/>
              <w:left w:type="dxa" w:w="110"/>
              <w:bottom w:type="dxa" w:w="60"/>
              <w:right w:type="dxa" w:w="110"/>
            </w:tcMar>
          </w:tcPr>
          <w:p>
            <w:pPr>
              <w:spacing w:after="0" w:line="250"/>
            </w:pPr>
            <w:r>
              <w:t xml:space="preserve">ICT third-party service provider</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t xml:space="preserve">IDD (Dir. 2016/97) — insurance Clients only</w:t>
            </w:r>
          </w:p>
        </w:tc>
        <w:tc>
          <w:tcPr>
            <w:tcW w:type="dxa" w:w="32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t xml:space="preserve">Insurance distributor (if advising/selling)</w:t>
            </w:r>
          </w:p>
        </w:tc>
        <w:tc>
          <w:tcPr>
            <w:tcW w:type="dxa" w:w="32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t xml:space="preserve">Out of scope unless the assistant performs distribution acts</w:t>
            </w:r>
          </w:p>
        </w:tc>
      </w:tr>
    </w:tbl>
    <w:p>
      <w:pPr>
        <w:spacing w:after="60"/>
      </w:pPr>
      <w:r>
        <w:t xml:space="preserve"/>
      </w:r>
    </w:p>
    <w:p>
      <w:pPr>
        <w:pStyle w:val="Heading3"/>
      </w:pPr>
      <w:r>
        <w:t xml:space="preserve">A6.1 GDPR (Regulation (EU) 2016/679)</w:t>
      </w:r>
    </w:p>
    <w:p>
      <w:pPr>
        <w:spacing w:after="120" w:line="264"/>
        <w:jc w:val="both"/>
      </w:pPr>
      <w:r>
        <w:t xml:space="preserve">The Platform acts as processor; the Client is controller. The Platform processes personal data only on the Client’s documented instructions, supports data-subject rights, and maintains the technical and organisational measures in A5. Decisions producing legal or similarly significant effects are not taken on a solely automated basis: a human-review path is provided (GDPR Article 22).</w:t>
      </w:r>
    </w:p>
    <w:p>
      <w:pPr>
        <w:spacing w:after="120" w:line="264"/>
        <w:jc w:val="both"/>
      </w:pPr>
      <w:r>
        <w:rPr>
          <w:b/>
          <w:bCs/>
        </w:rPr>
        <w:t xml:space="preserve">Special-category data. </w:t>
      </w:r>
      <w:r>
        <w:t xml:space="preserve">Health and certain financial data are special-category data under GDPR Article 9 and require both an Article 6 lawful basis and a separate Article 9 condition (ordinarily explicit consent). The Platform captures explicit consent before any special-category processing and minimises such capture. In Cyprus, explicit consent for sensitive data must be unambiguous and express.</w:t>
      </w:r>
    </w:p>
    <w:p>
      <w:pPr>
        <w:pStyle w:val="Heading3"/>
      </w:pPr>
      <w:r>
        <w:t xml:space="preserve">A6.2 EU AI Act (Regulation (EU) 2024/1689)</w:t>
      </w:r>
    </w:p>
    <w:p>
      <w:pPr>
        <w:pStyle w:val="ListParagraph"/>
        <w:numPr>
          <w:ilvl w:val="0"/>
          <w:numId w:val="2"/>
        </w:numPr>
        <w:spacing w:after="70" w:line="260"/>
      </w:pPr>
      <w:r>
        <w:t xml:space="preserve">Transparency (Article 50): from 2 August 2026 the assistant must disclose to users that they are interacting with AI — this applies even where no personal data is processed. The Platform presents this disclosure at the start of every conversation, independently of Client scripting.</w:t>
      </w:r>
    </w:p>
    <w:p>
      <w:pPr>
        <w:pStyle w:val="ListParagraph"/>
        <w:numPr>
          <w:ilvl w:val="0"/>
          <w:numId w:val="2"/>
        </w:numPr>
        <w:spacing w:after="70" w:line="260"/>
      </w:pPr>
      <w:r>
        <w:t xml:space="preserve">High-risk (Annex III): Annex III classifies as high-risk, among others, AI used for recruitment and employee evaluation, determining access to or assessing students in education, credit scoring, life/health insurance risk assessment and pricing, and eligibility decisions for essential public and private services. The Platform excludes all of these use cases by design, in every sector. The Digital Omnibus on AI, which would defer Annex III obligations to 2 December 2027, was provisionally agreed in May 2026 but is not yet adopted; the Platform therefore plans against the standing 2 August 2026 date until the amendment is published.</w:t>
      </w:r>
    </w:p>
    <w:p>
      <w:pPr>
        <w:pStyle w:val="ListParagraph"/>
        <w:numPr>
          <w:ilvl w:val="0"/>
          <w:numId w:val="2"/>
        </w:numPr>
        <w:spacing w:after="70" w:line="260"/>
      </w:pPr>
      <w:r>
        <w:t xml:space="preserve">Human oversight and AI literacy (Articles 14 and 4) are maintained as baseline measures.</w:t>
      </w:r>
    </w:p>
    <w:p>
      <w:pPr>
        <w:pStyle w:val="Heading3"/>
      </w:pPr>
      <w:r>
        <w:t xml:space="preserve">A6.3 DORA (Regulation (EU) 2022/2554)</w:t>
      </w:r>
    </w:p>
    <w:p>
      <w:pPr>
        <w:spacing w:after="120" w:line="264"/>
        <w:jc w:val="both"/>
      </w:pPr>
      <w:r>
        <w:t xml:space="preserve">Where the Client is a financial entity — an insurer or intermediary, credit institution, investment firm, payment or e-money institution, or similar — the Platform is an ICT third-party service provider within the Client’s DORA perimeter (DORA has applied since 17 January 2025). DORA does not apply to engagements with non-financial Clients. The Platform offers contractual terms aligned to DORA Article 30, applied proportionately: the baseline terms of Article 30(2) for all engagements, and the enhanced terms of Article 30(3) where the service supports a Client’s critical or important function. The Platform supports inclusion in the Client’s Register of Information, data-location disclosure, incident assistance, and exit/portability.</w:t>
      </w:r>
    </w:p>
    <w:p>
      <w:pPr>
        <w:pBdr>
          <w:top w:val="single" w:color="E8C46B" w:sz="2" w:space="4"/>
          <w:bottom w:val="single" w:color="E8C46B" w:sz="2" w:space="4"/>
          <w:left w:val="single" w:color="C8881B" w:sz="18" w:space="8"/>
        </w:pBdr>
        <w:shd w:fill="FDF1D6" w:val="clear"/>
        <w:spacing w:after="140" w:before="100" w:line="260"/>
      </w:pPr>
      <w:r>
        <w:rPr>
          <w:b/>
          <w:bCs/>
          <w:color w:val="8A5A00"/>
        </w:rPr>
        <w:t xml:space="preserve">REVIEW NOTE: </w:t>
      </w:r>
      <w:r>
        <w:rPr>
          <w:i/>
          <w:iCs/>
          <w:color w:val="5C4400"/>
        </w:rPr>
        <w:t xml:space="preserve">The Platform remains accountable for its own sub-processors, who must meet equivalent standards, but cannot impose bespoke DORA flow-down terms on large upstream providers (the engine and its model provider). This limitation must be disclosed to Clients and managed through sub-processor transparency, vendor certifications, and a robust exit path.</w:t>
      </w:r>
    </w:p>
    <w:p>
      <w:pPr>
        <w:pStyle w:val="Heading3"/>
      </w:pPr>
      <w:r>
        <w:t xml:space="preserve">A6.4 Insurance Clients — IDD (Directive (EU) 2016/97)</w:t>
      </w:r>
    </w:p>
    <w:p>
      <w:pPr>
        <w:spacing w:after="120" w:line="264"/>
        <w:jc w:val="both"/>
      </w:pPr>
      <w:r>
        <w:t xml:space="preserve">Where an assistant collects a customer’s details and recommends specific insurance products, it may perform acts of insurance distribution, engaging the demands-and-needs requirements of IDD Article 20 and related obligations. By default the Platform restricts assistants to non-distribution functions. Distribution features are enabled only where the Client attests that it is a registered insurance distributor and the corresponding demands-and-needs and disclosure steps are built into the flow. In Cyprus, insurance distribution is supervised by the Superintendent of Insurance under Law 38(I)/2016.</w:t>
      </w:r>
    </w:p>
    <w:p>
      <w:pPr>
        <w:pStyle w:val="Heading3"/>
      </w:pPr>
      <w:r>
        <w:t xml:space="preserve">A6.5 Healthcare Clients</w:t>
      </w:r>
    </w:p>
    <w:p>
      <w:pPr>
        <w:spacing w:after="120" w:line="264"/>
        <w:jc w:val="both"/>
      </w:pPr>
      <w:r>
        <w:t xml:space="preserve">Assistants for healthcare providers (clinics, hospitals, diagnostic centres, dental and allied-health practices) are limited to administrative and informational functions — appointment booking, intake, service and pricing information, and general FAQ. They do not provide diagnosis, triage, or treatment recommendations: such functionality could engage the Medical Devices Regulation (EU) 2017/745 and AI Act Annex III, and is excluded by design. Health data is special-category under GDPR Article 9: the Platform captures explicit consent before any such processing and applies enhanced safeguards (A6.1). [Confirm with counsel any national health-records, confidentiality, and patient-rights rules applicable to the Client.]</w:t>
      </w:r>
    </w:p>
    <w:p>
      <w:pPr>
        <w:pStyle w:val="Heading3"/>
      </w:pPr>
      <w:r>
        <w:t xml:space="preserve">A6.6 Legal and professional-services Clients</w:t>
      </w:r>
    </w:p>
    <w:p>
      <w:pPr>
        <w:spacing w:after="120" w:line="264"/>
        <w:jc w:val="both"/>
      </w:pPr>
      <w:r>
        <w:t xml:space="preserve">Assistants deployed by law firms, accountants, and other professional-services Clients handle intake, scheduling, and general information only. They do not provide legal, tax, or other professional advice, do not create a professional-client relationship, and disclaim this to End-Users; substantive questions are routed to a qualified human. Conversations may contain confidential or privileged material, so the Platform applies strict confidentiality, data minimisation, and access controls, and Clients can configure shortened retention. Professional-conduct rules (e.g., for advocates in Cyprus, the Advocates Law and Cyprus Bar Association rules) remain the Client’s responsibility.</w:t>
      </w:r>
    </w:p>
    <w:p>
      <w:pPr>
        <w:pStyle w:val="Heading3"/>
      </w:pPr>
      <w:r>
        <w:t xml:space="preserve">A6.7 Consumer-facing Clients (e-commerce, retail, travel, hospitality, telecoms, utilities, real estate)</w:t>
      </w:r>
    </w:p>
    <w:p>
      <w:pPr>
        <w:spacing w:after="120" w:line="264"/>
        <w:jc w:val="both"/>
      </w:pPr>
      <w:r>
        <w:t xml:space="preserve">Where assistants face consumers, EU consumer-protection law applies to the Client as trader: the Consumer Rights Directive (2011/83/EU) on pre-contractual information and withdrawal rights, the Unfair Commercial Practices Directive (2005/29/EC) prohibiting misleading claims and manipulative design (“dark patterns”), and price-transparency rules as amended by the Omnibus Directive (2019/2161). The Platform supports compliant flows: clear identification of the trader, accurate product and price information drawn from Client-approved sources, confirmation steps where an assistant supports a purchase or booking, and complaint routing. The Client remains the contracting party for any sale.</w:t>
      </w:r>
    </w:p>
    <w:p>
      <w:pPr>
        <w:pStyle w:val="Heading3"/>
      </w:pPr>
      <w:r>
        <w:t xml:space="preserve">A6.8 Employment, education and other excluded uses</w:t>
      </w:r>
    </w:p>
    <w:p>
      <w:pPr>
        <w:spacing w:after="120" w:line="264"/>
        <w:jc w:val="both"/>
      </w:pPr>
      <w:r>
        <w:t xml:space="preserve">Across all sectors, assistants may answer questions about a vacancy, course, or programme, but must not screen, score, rank, or otherwise evaluate candidates, employees, or students, and must not make or recommend credit, pricing, or eligibility decisions — these are AI Act Annex III high-risk uses, excluded by design and enforced by the guardrails in A7. Clients in recruitment or education can therefore use the Platform for informational and administrative functions only.</w:t>
      </w:r>
    </w:p>
    <w:p>
      <w:pPr>
        <w:pStyle w:val="Heading3"/>
      </w:pPr>
      <w:r>
        <w:t xml:space="preserve">A6.9 European Accessibility Act (Directive (EU) 2019/882)</w:t>
      </w:r>
    </w:p>
    <w:p>
      <w:pPr>
        <w:spacing w:after="120" w:line="264"/>
        <w:jc w:val="both"/>
      </w:pPr>
      <w:r>
        <w:t xml:space="preserve">Consumer-facing services, including customer-service chatbots (notably in e-commerce, banking and other consumer sectors), fall within the EAA, applicable since 28 June 2025. The Platform’s interface targets conformance with EN 301 549 / WCAG 2.1 Level AA and publishes an accessibility statement. A microenterprise exemption may apply to the Platform initially but does not relieve Client obligations.</w:t>
      </w:r>
    </w:p>
    <w:p>
      <w:pPr>
        <w:pStyle w:val="Heading3"/>
      </w:pPr>
      <w:r>
        <w:t xml:space="preserve">A6.10 International data transfers</w:t>
      </w:r>
    </w:p>
    <w:p>
      <w:pPr>
        <w:spacing w:after="120" w:line="264"/>
        <w:jc w:val="both"/>
      </w:pPr>
      <w:r>
        <w:t xml:space="preserve">Interactions are processed on infrastructure that includes the United States. On current evidence the engine provider relies on the EU Standard Contractual Clauses rather than the EU-US Data Privacy Framework; the Platform therefore relies on SCCs supported by a Transfer Impact Assessment and any necessary supplementary measures, and records data-processing locations per Client. EU data residency, where required, is addressed as a configuration/contractual matter.</w:t>
      </w:r>
    </w:p>
    <w:p>
      <w:pPr>
        <w:pBdr>
          <w:top w:val="single" w:color="E8C46B" w:sz="2" w:space="4"/>
          <w:bottom w:val="single" w:color="E8C46B" w:sz="2" w:space="4"/>
          <w:left w:val="single" w:color="C8881B" w:sz="18" w:space="8"/>
        </w:pBdr>
        <w:shd w:fill="FDF1D6" w:val="clear"/>
        <w:spacing w:after="140" w:before="100" w:line="260"/>
      </w:pPr>
      <w:r>
        <w:rPr>
          <w:b/>
          <w:bCs/>
          <w:color w:val="8A5A00"/>
        </w:rPr>
        <w:t xml:space="preserve">REVIEW NOTE: </w:t>
      </w:r>
      <w:r>
        <w:rPr>
          <w:i/>
          <w:iCs/>
          <w:color w:val="5C4400"/>
        </w:rPr>
        <w:t xml:space="preserve">Confirm the engine provider’s and its model provider’s transfer mechanism (SCCs vs. DPF self-certification on dataprivacyframework.gov) and document a Transfer Impact Assessment before onboarding regulated Clients. Note that data hosted in an EU region of a US-headquartered provider may remain subject to US legal process (US CLOUD Act); assess concentration risk under DORA.</w:t>
      </w:r>
    </w:p>
    <w:p>
      <w:pPr>
        <w:pStyle w:val="Heading3"/>
      </w:pPr>
      <w:r>
        <w:t xml:space="preserve">A6.11 ePrivacy and NIS2</w:t>
      </w:r>
    </w:p>
    <w:p>
      <w:pPr>
        <w:spacing w:after="120" w:line="264"/>
        <w:jc w:val="both"/>
      </w:pPr>
      <w:r>
        <w:t xml:space="preserve">The chat interface uses strictly-necessary storage by default; non-essential cookies or analytics are used only with consent. NIS2 (Directive (EU) 2022/2555) may apply by size and sector, but entities exempted under DORA are outside NIS2 scope; applicability is to be confirmed with counsel.</w:t>
      </w:r>
    </w:p>
    <w:p>
      <w:pPr>
        <w:pStyle w:val="Heading2"/>
      </w:pPr>
      <w:r>
        <w:t xml:space="preserve">A7. Compliance-by-design controls</w:t>
      </w:r>
    </w:p>
    <w:p>
      <w:pPr>
        <w:spacing w:after="120" w:line="264"/>
        <w:jc w:val="both"/>
      </w:pPr>
      <w:r>
        <w:t xml:space="preserve">The following controls sit within the Laravel application, above the engine seam, so the compliance posture is independent of the underlying engine:</w:t>
      </w:r>
    </w:p>
    <w:p>
      <w:pPr>
        <w:pStyle w:val="ListParagraph"/>
        <w:numPr>
          <w:ilvl w:val="0"/>
          <w:numId w:val="2"/>
        </w:numPr>
        <w:spacing w:after="70" w:line="260"/>
      </w:pPr>
      <w:r>
        <w:t xml:space="preserve">Per-Client compliance configuration (controller identity, data region, sector classification, regulated-activity attestations — e.g., insurance-distributor registration — use-case classification, DPA acceptance, sub-processors).</w:t>
      </w:r>
    </w:p>
    <w:p>
      <w:pPr>
        <w:pStyle w:val="ListParagraph"/>
        <w:numPr>
          <w:ilvl w:val="0"/>
          <w:numId w:val="2"/>
        </w:numPr>
        <w:spacing w:after="70" w:line="260"/>
      </w:pPr>
      <w:r>
        <w:t xml:space="preserve">AI-disclosure mechanism (AI Act Article 50), independent of engine scripting.</w:t>
      </w:r>
    </w:p>
    <w:p>
      <w:pPr>
        <w:pStyle w:val="ListParagraph"/>
        <w:numPr>
          <w:ilvl w:val="0"/>
          <w:numId w:val="2"/>
        </w:numPr>
        <w:spacing w:after="70" w:line="260"/>
      </w:pPr>
      <w:r>
        <w:t xml:space="preserve">Consent records, including explicit consent for special-category data; versioned and revocable.</w:t>
      </w:r>
    </w:p>
    <w:p>
      <w:pPr>
        <w:pStyle w:val="ListParagraph"/>
        <w:numPr>
          <w:ilvl w:val="0"/>
          <w:numId w:val="2"/>
        </w:numPr>
        <w:spacing w:after="70" w:line="260"/>
      </w:pPr>
      <w:r>
        <w:t xml:space="preserve">Data-subject-request handling across the Platform’s records and the engine (including erasure).</w:t>
      </w:r>
    </w:p>
    <w:p>
      <w:pPr>
        <w:pStyle w:val="ListParagraph"/>
        <w:numPr>
          <w:ilvl w:val="0"/>
          <w:numId w:val="2"/>
        </w:numPr>
        <w:spacing w:after="70" w:line="260"/>
      </w:pPr>
      <w:r>
        <w:t xml:space="preserve">Append-only audit log serving GDPR Article 30, AI Act record-keeping, and DORA evidence.</w:t>
      </w:r>
    </w:p>
    <w:p>
      <w:pPr>
        <w:pStyle w:val="ListParagraph"/>
        <w:numPr>
          <w:ilvl w:val="0"/>
          <w:numId w:val="2"/>
        </w:numPr>
        <w:spacing w:after="70" w:line="260"/>
      </w:pPr>
      <w:r>
        <w:t xml:space="preserve">Human-oversight escalation path; use-case guardrails blocking AI Act Annex III high-risk uses and unattested regulated activities in any sector.</w:t>
      </w:r>
    </w:p>
    <w:p>
      <w:pPr>
        <w:pStyle w:val="ListParagraph"/>
        <w:numPr>
          <w:ilvl w:val="0"/>
          <w:numId w:val="2"/>
        </w:numPr>
        <w:spacing w:after="70" w:line="260"/>
      </w:pPr>
      <w:r>
        <w:t xml:space="preserve">Incident and breach runbook with Client notification meeting DORA reporting and the GDPR 72-hour timeline.</w:t>
      </w:r>
    </w:p>
    <w:p>
      <w:pPr>
        <w:pStyle w:val="ListParagraph"/>
        <w:numPr>
          <w:ilvl w:val="0"/>
          <w:numId w:val="2"/>
        </w:numPr>
        <w:spacing w:after="70" w:line="260"/>
      </w:pPr>
      <w:r>
        <w:t xml:space="preserve">Exit/portability export; data-residency configuration; sub-processor transparency record; transfer/TIA register.</w:t>
      </w:r>
    </w:p>
    <w:p>
      <w:pPr>
        <w:pStyle w:val="Heading2"/>
      </w:pPr>
      <w:r>
        <w:t xml:space="preserve">A8. Accuracy, liability and assurance</w:t>
      </w:r>
    </w:p>
    <w:p>
      <w:pPr>
        <w:spacing w:after="120" w:line="264"/>
        <w:jc w:val="both"/>
      </w:pPr>
      <w:r>
        <w:t xml:space="preserve">Assistant responses are grounded in Client-approved knowledge sources; the Platform does not warrant that automated responses constitute advice, routes binding, legal, medical, or financial questions to a human, and conducts ongoing evaluation and testing. The Platform maintains, or will maintain, professional indemnity insurance, and the Terms of Service set liability caps and accuracy disclaimers.</w:t>
      </w:r>
    </w:p>
    <w:p>
      <w:pPr>
        <w:pStyle w:val="Heading2"/>
      </w:pPr>
      <w:r>
        <w:t xml:space="preserve">A9. Governing authorities (Cyprus)</w:t>
      </w:r>
    </w:p>
    <w:p>
      <w:pPr>
        <w:pStyle w:val="ListParagraph"/>
        <w:numPr>
          <w:ilvl w:val="0"/>
          <w:numId w:val="2"/>
        </w:numPr>
        <w:spacing w:after="70" w:line="260"/>
      </w:pPr>
      <w:r>
        <w:t xml:space="preserve">Data protection: Commissioner for the Protection of Personal Data, Nicosia (Law 125(I)/2018 supplementing the GDPR).</w:t>
      </w:r>
    </w:p>
    <w:p>
      <w:pPr>
        <w:pStyle w:val="ListParagraph"/>
        <w:numPr>
          <w:ilvl w:val="0"/>
          <w:numId w:val="2"/>
        </w:numPr>
        <w:spacing w:after="70" w:line="260"/>
      </w:pPr>
      <w:r>
        <w:t xml:space="preserve">Sector supervisors, engaged per Client: Superintendent of Insurance, Insurance Companies Control Service, Ministry of Finance (insurance — Law 38(I)/2016); Central Bank of Cyprus (credit and payment institutions); Cyprus Securities and Exchange Commission (investment firms); Ministry of Health (healthcare providers); Cyprus Bar Association (advocates); Consumer Protection Service, Ministry of Energy, Commerce and Industry (consumer-facing trade).</w:t>
      </w:r>
    </w:p>
    <w:p>
      <w:r>
        <w:br w:type="page"/>
      </w:r>
    </w:p>
    <w:p>
      <w:pPr>
        <w:pStyle w:val="Heading1"/>
      </w:pPr>
      <w:r>
        <w:t xml:space="preserve">Part B — Contract Templates</w:t>
      </w:r>
    </w:p>
    <w:p>
      <w:pPr>
        <w:pBdr>
          <w:top w:val="single" w:color="E8C46B" w:sz="2" w:space="4"/>
          <w:bottom w:val="single" w:color="E8C46B" w:sz="2" w:space="4"/>
          <w:left w:val="single" w:color="C8881B" w:sz="18" w:space="8"/>
        </w:pBdr>
        <w:shd w:fill="FDF1D6" w:val="clear"/>
        <w:spacing w:after="140" w:before="100" w:line="260"/>
      </w:pPr>
      <w:r>
        <w:rPr>
          <w:b/>
          <w:bCs/>
          <w:color w:val="8A5A00"/>
        </w:rPr>
        <w:t xml:space="preserve">REVIEW NOTE: </w:t>
      </w:r>
      <w:r>
        <w:rPr>
          <w:i/>
          <w:iCs/>
          <w:color w:val="5C4400"/>
        </w:rPr>
        <w:t xml:space="preserve">The following are drafting templates only. They are not complete, executable contracts and omit jurisdiction-specific and commercial provisions. They must be completed, tailored, and reviewed by qualified Cyprus/EU counsel before use.</w:t>
      </w:r>
    </w:p>
    <w:p>
      <w:pPr>
        <w:pStyle w:val="Heading2"/>
      </w:pPr>
      <w:r>
        <w:t xml:space="preserve">Schedule 1 — Data Processing Agreement (GDPR Article 28)</w:t>
      </w:r>
    </w:p>
    <w:p>
      <w:pPr>
        <w:spacing w:after="120" w:line="264"/>
        <w:jc w:val="both"/>
      </w:pPr>
      <w:r>
        <w:t xml:space="preserve">This Data Processing Agreement (“DPA”) forms part of the agreement between [Company Name] Ltd (“Processor”) and the Client (“Controller”) and governs processing of personal data by the Processor on the Controller’s behalf. It is structured to satisfy Article 28(3) of the GDPR.</w:t>
      </w:r>
    </w:p>
    <w:p>
      <w:pPr>
        <w:spacing w:after="60" w:before="160"/>
      </w:pPr>
      <w:r>
        <w:rPr>
          <w:b/>
          <w:bCs/>
          <w:sz w:val="22"/>
          <w:szCs w:val="22"/>
        </w:rPr>
        <w:t>1.  Definitions</w:t>
      </w:r>
    </w:p>
    <w:p>
      <w:pPr>
        <w:spacing w:after="120" w:line="264"/>
        <w:jc w:val="both"/>
      </w:pPr>
      <w:r>
        <w:t xml:space="preserve">Terms such as “personal data”, “processing”, “controller”, “processor”, “data subject”, and “supervisory authority” have the meanings given in the GDPR. “Applicable Data Protection Law” means the GDPR and Cyprus Law 125(I)/2018, and any successor or supplementary law.</w:t>
      </w:r>
    </w:p>
    <w:p>
      <w:pPr>
        <w:spacing w:after="60" w:before="160"/>
      </w:pPr>
      <w:r>
        <w:rPr>
          <w:b/>
          <w:bCs/>
          <w:sz w:val="22"/>
          <w:szCs w:val="22"/>
        </w:rPr>
        <w:t>2.  Subject-matter, duration, nature and purpose</w:t>
      </w:r>
    </w:p>
    <w:p>
      <w:pPr>
        <w:spacing w:after="120" w:line="264"/>
        <w:jc w:val="both"/>
      </w:pPr>
      <w:r>
        <w:t xml:space="preserve">The Processor processes personal data solely to provide the Platform services described in the agreement, for its duration. The nature and purpose, types of personal data, and categories of data subjects are set out in Annex 1 to this Schedule.</w:t>
      </w:r>
    </w:p>
    <w:p>
      <w:pPr>
        <w:spacing w:after="60" w:before="160"/>
      </w:pPr>
      <w:r>
        <w:rPr>
          <w:b/>
          <w:bCs/>
          <w:sz w:val="22"/>
          <w:szCs w:val="22"/>
        </w:rPr>
        <w:t>3.  Processing on documented instructions</w:t>
      </w:r>
    </w:p>
    <w:p>
      <w:pPr>
        <w:spacing w:after="120" w:line="264"/>
        <w:jc w:val="both"/>
      </w:pPr>
      <w:r>
        <w:t xml:space="preserve">The Processor processes personal data only on the Controller’s documented instructions, including as to international transfers, unless required by Union or Member State law, in which case the Processor informs the Controller unless legally prohibited. [Art. 28(3)(a)]</w:t>
      </w:r>
    </w:p>
    <w:p>
      <w:pPr>
        <w:spacing w:after="60" w:before="160"/>
      </w:pPr>
      <w:r>
        <w:rPr>
          <w:b/>
          <w:bCs/>
          <w:sz w:val="22"/>
          <w:szCs w:val="22"/>
        </w:rPr>
        <w:t>4.  Confidentiality</w:t>
      </w:r>
    </w:p>
    <w:p>
      <w:pPr>
        <w:spacing w:after="120" w:line="264"/>
        <w:jc w:val="both"/>
      </w:pPr>
      <w:r>
        <w:t xml:space="preserve">The Processor ensures that persons authorised to process personal data are bound by confidentiality. [Art. 28(3)(b)]</w:t>
      </w:r>
    </w:p>
    <w:p>
      <w:pPr>
        <w:spacing w:after="60" w:before="160"/>
      </w:pPr>
      <w:r>
        <w:rPr>
          <w:b/>
          <w:bCs/>
          <w:sz w:val="22"/>
          <w:szCs w:val="22"/>
        </w:rPr>
        <w:t>5.  Security of processing</w:t>
      </w:r>
    </w:p>
    <w:p>
      <w:pPr>
        <w:spacing w:after="120" w:line="264"/>
        <w:jc w:val="both"/>
      </w:pPr>
      <w:r>
        <w:t xml:space="preserve">The Processor implements the technical and organisational measures described in Annex 2 to ensure a level of security appropriate to the risk, in accordance with Article 32. [Art. 28(3)(c)]</w:t>
      </w:r>
    </w:p>
    <w:p>
      <w:pPr>
        <w:spacing w:after="60" w:before="160"/>
      </w:pPr>
      <w:r>
        <w:rPr>
          <w:b/>
          <w:bCs/>
          <w:sz w:val="22"/>
          <w:szCs w:val="22"/>
        </w:rPr>
        <w:t>6.  Sub-processors</w:t>
      </w:r>
    </w:p>
    <w:p>
      <w:pPr>
        <w:spacing w:after="90" w:line="260"/>
        <w:ind w:left="360"/>
        <w:jc w:val="both"/>
      </w:pPr>
      <w:r>
        <w:rPr>
          <w:b/>
          <w:bCs/>
        </w:rPr>
        <w:t xml:space="preserve">(a) </w:t>
      </w:r>
      <w:r>
        <w:t xml:space="preserve">The Controller provides general authorisation for the Processor to engage sub-processors, including the conversation engine provider and its model provider, listed in Annex 3.</w:t>
      </w:r>
    </w:p>
    <w:p>
      <w:pPr>
        <w:spacing w:after="90" w:line="260"/>
        <w:ind w:left="360"/>
        <w:jc w:val="both"/>
      </w:pPr>
      <w:r>
        <w:rPr>
          <w:b/>
          <w:bCs/>
        </w:rPr>
        <w:t xml:space="preserve">(b) </w:t>
      </w:r>
      <w:r>
        <w:t xml:space="preserve">The Processor informs the Controller of intended changes to sub-processors and gives the Controller the opportunity to object.</w:t>
      </w:r>
    </w:p>
    <w:p>
      <w:pPr>
        <w:spacing w:after="90" w:line="260"/>
        <w:ind w:left="360"/>
        <w:jc w:val="both"/>
      </w:pPr>
      <w:r>
        <w:rPr>
          <w:b/>
          <w:bCs/>
        </w:rPr>
        <w:t xml:space="preserve">(c) </w:t>
      </w:r>
      <w:r>
        <w:t xml:space="preserve">The Processor imposes data-protection obligations on each sub-processor equivalent to those in this DPA and remains liable for sub-processor performance. [Art. 28(2),(4)]</w:t>
      </w:r>
    </w:p>
    <w:p>
      <w:pPr>
        <w:spacing w:after="60" w:before="160"/>
      </w:pPr>
      <w:r>
        <w:rPr>
          <w:b/>
          <w:bCs/>
          <w:sz w:val="22"/>
          <w:szCs w:val="22"/>
        </w:rPr>
        <w:t>7.  Assistance with data-subject rights</w:t>
      </w:r>
    </w:p>
    <w:p>
      <w:pPr>
        <w:spacing w:after="120" w:line="264"/>
        <w:jc w:val="both"/>
      </w:pPr>
      <w:r>
        <w:t xml:space="preserve">Taking account of the nature of the processing, the Processor assists the Controller by appropriate measures in responding to data-subject requests under Chapter III of the GDPR. [Art. 28(3)(e)]</w:t>
      </w:r>
    </w:p>
    <w:p>
      <w:pPr>
        <w:spacing w:after="60" w:before="160"/>
      </w:pPr>
      <w:r>
        <w:rPr>
          <w:b/>
          <w:bCs/>
          <w:sz w:val="22"/>
          <w:szCs w:val="22"/>
        </w:rPr>
        <w:t>8.  Assistance with security, breach and impact assessments</w:t>
      </w:r>
    </w:p>
    <w:p>
      <w:pPr>
        <w:spacing w:after="120" w:line="264"/>
        <w:jc w:val="both"/>
      </w:pPr>
      <w:r>
        <w:t xml:space="preserve">The Processor assists the Controller in ensuring compliance with Articles 32 to 36, including notifying the Controller without undue delay after becoming aware of a personal-data breach, and assisting with data protection impact assessments. [Art. 28(3)(f)]</w:t>
      </w:r>
    </w:p>
    <w:p>
      <w:pPr>
        <w:spacing w:after="60" w:before="160"/>
      </w:pPr>
      <w:r>
        <w:rPr>
          <w:b/>
          <w:bCs/>
          <w:sz w:val="22"/>
          <w:szCs w:val="22"/>
        </w:rPr>
        <w:t>9.  Return or deletion</w:t>
      </w:r>
    </w:p>
    <w:p>
      <w:pPr>
        <w:spacing w:after="120" w:line="264"/>
        <w:jc w:val="both"/>
      </w:pPr>
      <w:r>
        <w:t xml:space="preserve">At the Controller’s choice, the Processor deletes or returns all personal data after the end of the provision of services and deletes existing copies unless storage is required by law. [Art. 28(3)(g)]</w:t>
      </w:r>
    </w:p>
    <w:p>
      <w:pPr>
        <w:spacing w:after="60" w:before="160"/>
      </w:pPr>
      <w:r>
        <w:rPr>
          <w:b/>
          <w:bCs/>
          <w:sz w:val="22"/>
          <w:szCs w:val="22"/>
        </w:rPr>
        <w:t>10.  Audits and information</w:t>
      </w:r>
    </w:p>
    <w:p>
      <w:pPr>
        <w:spacing w:after="120" w:line="264"/>
        <w:jc w:val="both"/>
      </w:pPr>
      <w:r>
        <w:t xml:space="preserve">The Processor makes available to the Controller information necessary to demonstrate compliance with Article 28 and allows for and contributes to audits, including inspections, conducted by the Controller or an auditor it mandates. [Art. 28(3)(h)]</w:t>
      </w:r>
    </w:p>
    <w:p>
      <w:pPr>
        <w:spacing w:after="60" w:before="160"/>
      </w:pPr>
      <w:r>
        <w:rPr>
          <w:b/>
          <w:bCs/>
          <w:sz w:val="22"/>
          <w:szCs w:val="22"/>
        </w:rPr>
        <w:t>11.  International transfers</w:t>
      </w:r>
    </w:p>
    <w:p>
      <w:pPr>
        <w:spacing w:after="120" w:line="264"/>
        <w:jc w:val="both"/>
      </w:pPr>
      <w:r>
        <w:t xml:space="preserve">Where personal data is transferred outside the EEA, the Processor ensures appropriate safeguards under Chapter V of the GDPR, principally the Standard Contractual Clauses supported by a Transfer Impact Assessment, as recorded in Annex 3.</w:t>
      </w:r>
    </w:p>
    <w:p>
      <w:pPr>
        <w:spacing w:after="60" w:before="160"/>
      </w:pPr>
      <w:r>
        <w:rPr>
          <w:b/>
          <w:bCs/>
          <w:sz w:val="22"/>
          <w:szCs w:val="22"/>
        </w:rPr>
        <w:t>12.  Special-category data</w:t>
      </w:r>
    </w:p>
    <w:p>
      <w:pPr>
        <w:spacing w:after="120" w:line="264"/>
        <w:jc w:val="both"/>
      </w:pPr>
      <w:r>
        <w:t xml:space="preserve">Where the services involve special-category data (Article 9), the Controller is responsible for establishing the Article 9 condition; the Platform supports explicit-consent capture and applies enhanced safeguards.</w:t>
      </w:r>
    </w:p>
    <w:p>
      <w:pPr>
        <w:spacing w:after="120" w:line="264"/>
        <w:jc w:val="both"/>
      </w:pPr>
      <w:r>
        <w:rPr>
          <w:b/>
          <w:bCs/>
        </w:rPr>
        <w:t xml:space="preserve">Annex 1 — Processing details: </w:t>
      </w:r>
      <w:r>
        <w:t xml:space="preserve">[subject-matter; duration; nature/purpose; types of personal data; categories of data subjects].</w:t>
      </w:r>
    </w:p>
    <w:p>
      <w:pPr>
        <w:spacing w:after="120" w:line="264"/>
        <w:jc w:val="both"/>
      </w:pPr>
      <w:r>
        <w:rPr>
          <w:b/>
          <w:bCs/>
        </w:rPr>
        <w:t xml:space="preserve">Annex 2 — Security measures: </w:t>
      </w:r>
      <w:r>
        <w:t xml:space="preserve">[the technical and organisational measures actually implemented — see Part A, A5].</w:t>
      </w:r>
    </w:p>
    <w:p>
      <w:pPr>
        <w:spacing w:after="120" w:line="264"/>
        <w:jc w:val="both"/>
      </w:pPr>
      <w:r>
        <w:rPr>
          <w:b/>
          <w:bCs/>
        </w:rPr>
        <w:t xml:space="preserve">Annex 3 — Sub-processors &amp; transfers: </w:t>
      </w:r>
      <w:r>
        <w:t xml:space="preserve">[current sub-processor list, locations, and transfer mechanism (SCCs + TIA)].</w:t>
      </w:r>
    </w:p>
    <w:p>
      <w:r>
        <w:br w:type="page"/>
      </w:r>
    </w:p>
    <w:p>
      <w:pPr>
        <w:pStyle w:val="Heading2"/>
      </w:pPr>
      <w:r>
        <w:t xml:space="preserve">Schedule 2 — Terms of Service (Platform)</w:t>
      </w:r>
    </w:p>
    <w:p>
      <w:pPr>
        <w:spacing w:after="120" w:line="264"/>
        <w:jc w:val="both"/>
      </w:pPr>
      <w:r>
        <w:t xml:space="preserve">These Terms of Service (“Terms”) govern the Client’s use of the Platform. They incorporate the DPA (Schedule 1) and, where applicable, the DORA contractual addendum (Schedule 3) and sector schedules (Schedule 5).</w:t>
      </w:r>
    </w:p>
    <w:p>
      <w:pPr>
        <w:spacing w:after="60" w:before="160"/>
      </w:pPr>
      <w:r>
        <w:rPr>
          <w:b/>
          <w:bCs/>
          <w:sz w:val="22"/>
          <w:szCs w:val="22"/>
        </w:rPr>
        <w:t>1.  Definitions and interpretation</w:t>
      </w:r>
    </w:p>
    <w:p>
      <w:pPr>
        <w:spacing w:after="120" w:line="264"/>
        <w:jc w:val="both"/>
      </w:pPr>
      <w:r>
        <w:t xml:space="preserve">[Define Platform, Assistant, Client, End-User, Credits, Order Form, Documentation, etc.]</w:t>
      </w:r>
    </w:p>
    <w:p>
      <w:pPr>
        <w:spacing w:after="60" w:before="160"/>
      </w:pPr>
      <w:r>
        <w:rPr>
          <w:b/>
          <w:bCs/>
          <w:sz w:val="22"/>
          <w:szCs w:val="22"/>
        </w:rPr>
        <w:t>2.  The service</w:t>
      </w:r>
    </w:p>
    <w:p>
      <w:pPr>
        <w:spacing w:after="120" w:line="264"/>
        <w:jc w:val="both"/>
      </w:pPr>
      <w:r>
        <w:t xml:space="preserve">The Platform provides the Client a white-label AI assistant for the permitted use cases. The Platform may use sub-processors (Schedule 1, Annex 3). The Platform provides the service with reasonable skill and care and in accordance with the Documentation and applicable service levels [Schedule 3 / SLA].</w:t>
      </w:r>
    </w:p>
    <w:p>
      <w:pPr>
        <w:spacing w:after="60" w:before="160"/>
      </w:pPr>
      <w:r>
        <w:rPr>
          <w:b/>
          <w:bCs/>
          <w:sz w:val="22"/>
          <w:szCs w:val="22"/>
        </w:rPr>
        <w:t>3.  Permitted use and restrictions</w:t>
      </w:r>
    </w:p>
    <w:p>
      <w:pPr>
        <w:spacing w:after="90" w:line="260"/>
        <w:ind w:left="360"/>
        <w:jc w:val="both"/>
      </w:pPr>
      <w:r>
        <w:rPr>
          <w:b/>
          <w:bCs/>
        </w:rPr>
        <w:t xml:space="preserve">(a) </w:t>
      </w:r>
      <w:r>
        <w:t xml:space="preserve">The Client uses the Platform only for lawful, permitted use cases (customer service, intake and triage, product/FAQ Q&amp;A, lead qualification, booking and scheduling), unless regulated-activity features are expressly enabled under clause 4.</w:t>
      </w:r>
    </w:p>
    <w:p>
      <w:pPr>
        <w:spacing w:after="90" w:line="260"/>
        <w:ind w:left="360"/>
        <w:jc w:val="both"/>
      </w:pPr>
      <w:r>
        <w:rPr>
          <w:b/>
          <w:bCs/>
        </w:rPr>
        <w:t xml:space="preserve">(b) </w:t>
      </w:r>
      <w:r>
        <w:t xml:space="preserve">The Client must not use the Platform for any high-risk use under EU AI Act Annex III — including recruitment or employee screening, educational assessment or scoring, credit scoring, life/health insurance risk assessment, pricing or underwriting, or eligibility decisions for essential services — nor for legal, medical, or financial advice, without the Platform’s prior written agreement and the additional controls required by law.</w:t>
      </w:r>
    </w:p>
    <w:p>
      <w:pPr>
        <w:spacing w:after="60" w:before="160"/>
      </w:pPr>
      <w:r>
        <w:rPr>
          <w:b/>
          <w:bCs/>
          <w:sz w:val="22"/>
          <w:szCs w:val="22"/>
        </w:rPr>
        <w:t>4.  Regulated activities and sector features</w:t>
      </w:r>
    </w:p>
    <w:p>
      <w:pPr>
        <w:spacing w:after="120" w:line="264"/>
        <w:jc w:val="both"/>
      </w:pPr>
      <w:r>
        <w:t xml:space="preserve">If the Client wishes to enable features that perform or support a regulated activity, the Client warrants that it holds all required registrations, licences, and permissions and remains solely responsible for sector compliance, completing the applicable sector schedule (Schedule 5). For insurance product recommendations, the Client warrants that it is a duly registered insurance distributor and remains solely responsible for compliance with the IDD and Cyprus Law 38(I)/2016, including the demands-and-needs assessment and required disclosures.</w:t>
      </w:r>
    </w:p>
    <w:p>
      <w:pPr>
        <w:spacing w:after="60" w:before="160"/>
      </w:pPr>
      <w:r>
        <w:rPr>
          <w:b/>
          <w:bCs/>
          <w:sz w:val="22"/>
          <w:szCs w:val="22"/>
        </w:rPr>
        <w:t>5.  AI transparency and human oversight</w:t>
      </w:r>
    </w:p>
    <w:p>
      <w:pPr>
        <w:spacing w:after="120" w:line="264"/>
        <w:jc w:val="both"/>
      </w:pPr>
      <w:r>
        <w:t xml:space="preserve">The Client acknowledges that the assistant is an AI system; the Platform discloses this to End-Users (AI Act Article 50) and provides a human-escalation path. The Client must not represent the assistant as a human.</w:t>
      </w:r>
    </w:p>
    <w:p>
      <w:pPr>
        <w:spacing w:after="60" w:before="160"/>
      </w:pPr>
      <w:r>
        <w:rPr>
          <w:b/>
          <w:bCs/>
          <w:sz w:val="22"/>
          <w:szCs w:val="22"/>
        </w:rPr>
        <w:t>6.  Fees, Credits and billing</w:t>
      </w:r>
    </w:p>
    <w:p>
      <w:pPr>
        <w:spacing w:after="90" w:line="260"/>
        <w:ind w:left="360"/>
        <w:jc w:val="both"/>
      </w:pPr>
      <w:r>
        <w:rPr>
          <w:b/>
          <w:bCs/>
        </w:rPr>
        <w:t xml:space="preserve">(a) </w:t>
      </w:r>
      <w:r>
        <w:t xml:space="preserve">The Client purchases Credits and the Platform meters usage per interaction; pricing and any auto-replenishment are set out in the Order Form.</w:t>
      </w:r>
    </w:p>
    <w:p>
      <w:pPr>
        <w:spacing w:after="90" w:line="260"/>
        <w:ind w:left="360"/>
        <w:jc w:val="both"/>
      </w:pPr>
      <w:r>
        <w:rPr>
          <w:b/>
          <w:bCs/>
        </w:rPr>
        <w:t xml:space="preserve">(b) </w:t>
      </w:r>
      <w:r>
        <w:t xml:space="preserve">Per-Client usage limits apply; the Platform may suspend service on limit exhaustion or non-payment, subject to notice.</w:t>
      </w:r>
    </w:p>
    <w:p>
      <w:pPr>
        <w:spacing w:after="60" w:before="160"/>
      </w:pPr>
      <w:r>
        <w:rPr>
          <w:b/>
          <w:bCs/>
          <w:sz w:val="22"/>
          <w:szCs w:val="22"/>
        </w:rPr>
        <w:t>7.  Data protection</w:t>
      </w:r>
    </w:p>
    <w:p>
      <w:pPr>
        <w:spacing w:after="120" w:line="264"/>
        <w:jc w:val="both"/>
      </w:pPr>
      <w:r>
        <w:t xml:space="preserve">The parties comply with the DPA (Schedule 1). The Client is controller; the Platform is processor.</w:t>
      </w:r>
    </w:p>
    <w:p>
      <w:pPr>
        <w:spacing w:after="60" w:before="160"/>
      </w:pPr>
      <w:r>
        <w:rPr>
          <w:b/>
          <w:bCs/>
          <w:sz w:val="22"/>
          <w:szCs w:val="22"/>
        </w:rPr>
        <w:t>8.  Accuracy disclaimer and warranties</w:t>
      </w:r>
    </w:p>
    <w:p>
      <w:pPr>
        <w:spacing w:after="120" w:line="264"/>
        <w:jc w:val="both"/>
      </w:pPr>
      <w:r>
        <w:t xml:space="preserve">Assistant responses are generated by AI and may contain errors; they do not constitute legal, medical, financial, insurance, or other professional advice. The Platform does not warrant uninterrupted or error-free operation. Save as expressly stated, all warranties implied by law are excluded to the extent permitted.</w:t>
      </w:r>
    </w:p>
    <w:p>
      <w:pPr>
        <w:spacing w:after="60" w:before="160"/>
      </w:pPr>
      <w:r>
        <w:rPr>
          <w:b/>
          <w:bCs/>
          <w:sz w:val="22"/>
          <w:szCs w:val="22"/>
        </w:rPr>
        <w:t>9.  Limitation of liability</w:t>
      </w:r>
    </w:p>
    <w:p>
      <w:pPr>
        <w:spacing w:after="120" w:line="264"/>
        <w:jc w:val="both"/>
      </w:pPr>
      <w:r>
        <w:t xml:space="preserve">[Liability cap — e.g., fees paid in the preceding 12 months]; exclusion of indirect and consequential loss; carve-outs for matters that cannot be limited by law (e.g., death/personal injury, fraud). [Confirm with counsel and align to PI insurance cover.]</w:t>
      </w:r>
    </w:p>
    <w:p>
      <w:pPr>
        <w:spacing w:after="60" w:before="160"/>
      </w:pPr>
      <w:r>
        <w:rPr>
          <w:b/>
          <w:bCs/>
          <w:sz w:val="22"/>
          <w:szCs w:val="22"/>
        </w:rPr>
        <w:t>10.  Confidentiality and intellectual property</w:t>
      </w:r>
    </w:p>
    <w:p>
      <w:pPr>
        <w:spacing w:after="120" w:line="264"/>
        <w:jc w:val="both"/>
      </w:pPr>
      <w:r>
        <w:t xml:space="preserve">Each party protects the other’s confidential information. The Platform retains all IP in the Platform; the Client retains its data and brand assets and grants the Platform a licence to use them to provide the service.</w:t>
      </w:r>
    </w:p>
    <w:p>
      <w:pPr>
        <w:spacing w:after="60" w:before="160"/>
      </w:pPr>
      <w:r>
        <w:rPr>
          <w:b/>
          <w:bCs/>
          <w:sz w:val="22"/>
          <w:szCs w:val="22"/>
        </w:rPr>
        <w:t>11.  Term, suspension and termination</w:t>
      </w:r>
    </w:p>
    <w:p>
      <w:pPr>
        <w:spacing w:after="120" w:line="264"/>
        <w:jc w:val="both"/>
      </w:pPr>
      <w:r>
        <w:t xml:space="preserve">[Term, renewal, termination for cause/convenience, effects of termination.]</w:t>
      </w:r>
    </w:p>
    <w:p>
      <w:pPr>
        <w:spacing w:after="60" w:before="160"/>
      </w:pPr>
      <w:r>
        <w:rPr>
          <w:b/>
          <w:bCs/>
          <w:sz w:val="22"/>
          <w:szCs w:val="22"/>
        </w:rPr>
        <w:t>12.  Exit and portability</w:t>
      </w:r>
    </w:p>
    <w:p>
      <w:pPr>
        <w:spacing w:after="120" w:line="264"/>
        <w:jc w:val="both"/>
      </w:pPr>
      <w:r>
        <w:t xml:space="preserve">On termination the Platform provides reasonable exit assistance, returns or deletes Client data per the DPA, and supports portability — consistent with DORA Article 30 where the Client is a financial entity.</w:t>
      </w:r>
    </w:p>
    <w:p>
      <w:pPr>
        <w:spacing w:after="60" w:before="160"/>
      </w:pPr>
      <w:r>
        <w:rPr>
          <w:b/>
          <w:bCs/>
          <w:sz w:val="22"/>
          <w:szCs w:val="22"/>
        </w:rPr>
        <w:t>13.  Accessibility</w:t>
      </w:r>
    </w:p>
    <w:p>
      <w:pPr>
        <w:spacing w:after="120" w:line="264"/>
        <w:jc w:val="both"/>
      </w:pPr>
      <w:r>
        <w:t xml:space="preserve">The Platform targets conformance with EN 301 549 / WCAG 2.1 Level AA for the Client-facing interface.</w:t>
      </w:r>
    </w:p>
    <w:p>
      <w:pPr>
        <w:spacing w:after="60" w:before="160"/>
      </w:pPr>
      <w:r>
        <w:rPr>
          <w:b/>
          <w:bCs/>
          <w:sz w:val="22"/>
          <w:szCs w:val="22"/>
        </w:rPr>
        <w:t>14.  Governing law and jurisdiction</w:t>
      </w:r>
    </w:p>
    <w:p>
      <w:pPr>
        <w:spacing w:after="120" w:line="264"/>
        <w:jc w:val="both"/>
      </w:pPr>
      <w:r>
        <w:t xml:space="preserve">These Terms are governed by the laws of the Republic of Cyprus, and the courts of Cyprus have exclusive jurisdiction, without prejudice to mandatory EU law. [Confirm dispute-resolution mechanism with counsel.]</w:t>
      </w:r>
    </w:p>
    <w:p>
      <w:pPr>
        <w:pStyle w:val="Heading2"/>
      </w:pPr>
      <w:r>
        <w:t xml:space="preserve">Schedule 3 — DORA contractual addendum (outline; financial-sector Clients only)</w:t>
      </w:r>
    </w:p>
    <w:p>
      <w:pPr>
        <w:pStyle w:val="ListParagraph"/>
        <w:numPr>
          <w:ilvl w:val="0"/>
          <w:numId w:val="2"/>
        </w:numPr>
        <w:spacing w:after="70" w:line="260"/>
      </w:pPr>
      <w:r>
        <w:t xml:space="preserve">Article 30(2) baseline (all engagements): description of services and locations of data processing; data-protection and security measures; incident assistance; cooperation with authorities; termination rights; exit assistance.</w:t>
      </w:r>
    </w:p>
    <w:p>
      <w:pPr>
        <w:pStyle w:val="ListParagraph"/>
        <w:numPr>
          <w:ilvl w:val="0"/>
          <w:numId w:val="2"/>
        </w:numPr>
        <w:spacing w:after="70" w:line="260"/>
      </w:pPr>
      <w:r>
        <w:t xml:space="preserve">Article 30(3) enhanced (critical/important functions): service levels and performance targets; business continuity and disaster recovery; audit and access rights; participation in threat-led penetration testing; controls on sub-contracting.</w:t>
      </w:r>
    </w:p>
    <w:p>
      <w:pPr>
        <w:pBdr>
          <w:top w:val="single" w:color="E8C46B" w:sz="2" w:space="4"/>
          <w:bottom w:val="single" w:color="E8C46B" w:sz="2" w:space="4"/>
          <w:left w:val="single" w:color="C8881B" w:sz="18" w:space="8"/>
        </w:pBdr>
        <w:shd w:fill="FDF1D6" w:val="clear"/>
        <w:spacing w:after="140" w:before="100" w:line="260"/>
      </w:pPr>
      <w:r>
        <w:rPr>
          <w:b/>
          <w:bCs/>
          <w:color w:val="8A5A00"/>
        </w:rPr>
        <w:t xml:space="preserve">REVIEW NOTE: </w:t>
      </w:r>
      <w:r>
        <w:rPr>
          <w:i/>
          <w:iCs/>
          <w:color w:val="5C4400"/>
        </w:rPr>
        <w:t xml:space="preserve">Classify each engagement as supporting a ‘critical or important function’ or not, and apply Schedule 3’s baseline or enhanced terms accordingly.</w:t>
      </w:r>
    </w:p>
    <w:p>
      <w:pPr>
        <w:pStyle w:val="Heading2"/>
      </w:pPr>
      <w:r>
        <w:t xml:space="preserve">Schedule 4 — AI transparency notice (End-User facing)</w:t>
      </w:r>
    </w:p>
    <w:p>
      <w:pPr>
        <w:spacing w:after="120" w:line="264"/>
        <w:jc w:val="both"/>
      </w:pPr>
      <w:r>
        <w:t xml:space="preserve">“You are chatting with an AI assistant, not a person. It can help with [permitted use cases]. You can ask to speak with a human at any time. [Where applicable: by continuing, you consent to the processing described in our privacy notice.]”</w:t>
      </w:r>
    </w:p>
    <w:p>
      <w:pPr>
        <w:pStyle w:val="Heading2"/>
      </w:pPr>
      <w:r>
        <w:t xml:space="preserve">Schedule 5 — Sector compliance addenda (outline)</w:t>
      </w:r>
    </w:p>
    <w:p>
      <w:pPr>
        <w:spacing w:after="120" w:line="264"/>
        <w:jc w:val="both"/>
      </w:pPr>
      <w:r>
        <w:t xml:space="preserve">Each engagement attaches the sector schedule(s) matching the Client’s classification (A7). Outline contents:</w:t>
      </w:r>
    </w:p>
    <w:p>
      <w:pPr>
        <w:pStyle w:val="ListParagraph"/>
        <w:numPr>
          <w:ilvl w:val="0"/>
          <w:numId w:val="2"/>
        </w:numPr>
        <w:spacing w:after="70" w:line="260"/>
      </w:pPr>
      <w:r>
        <w:t xml:space="preserve">Insurance distribution (IDD): registered-distributor attestation; demands-and-needs assessment and disclosure steps embedded in distribution flows; supervision reference (Cyprus Law 38(I)/2016).</w:t>
      </w:r>
    </w:p>
    <w:p>
      <w:pPr>
        <w:pStyle w:val="ListParagraph"/>
        <w:numPr>
          <w:ilvl w:val="0"/>
          <w:numId w:val="2"/>
        </w:numPr>
        <w:spacing w:after="70" w:line="260"/>
      </w:pPr>
      <w:r>
        <w:t xml:space="preserve">Healthcare: administrative/informational scope only (no diagnosis, triage, or treatment recommendation); explicit-consent capture for health data (GDPR Article 9); shortened retention options; [national health-record and confidentiality rules].</w:t>
      </w:r>
    </w:p>
    <w:p>
      <w:pPr>
        <w:pStyle w:val="ListParagraph"/>
        <w:numPr>
          <w:ilvl w:val="0"/>
          <w:numId w:val="2"/>
        </w:numPr>
        <w:spacing w:after="70" w:line="260"/>
      </w:pPr>
      <w:r>
        <w:t xml:space="preserve">Legal and professional services: no-advice disclaimer and routing of substantive questions to a qualified human; confidentiality and privilege-aware logging; Client-configurable retention.</w:t>
      </w:r>
    </w:p>
    <w:p>
      <w:pPr>
        <w:pStyle w:val="ListParagraph"/>
        <w:numPr>
          <w:ilvl w:val="0"/>
          <w:numId w:val="2"/>
        </w:numPr>
        <w:spacing w:after="70" w:line="260"/>
      </w:pPr>
      <w:r>
        <w:t xml:space="preserve">Consumer-facing sectors (e-commerce, retail, travel, hospitality, telecoms, utilities, real estate): trader identification; pre-contractual information and confirmation steps where the assistant supports a purchase or booking; prohibition of misleading claims and dark patterns; complaint routing.</w:t>
      </w:r>
    </w:p>
    <w:p>
      <w:pPr>
        <w:pStyle w:val="ListParagraph"/>
        <w:numPr>
          <w:ilvl w:val="0"/>
          <w:numId w:val="2"/>
        </w:numPr>
        <w:spacing w:after="70" w:line="260"/>
      </w:pPr>
      <w:r>
        <w:t xml:space="preserve">Employment and education: informational/administrative mode enforced; no candidate or student screening, scoring, ranking, or eligibility decisions (AI Act Annex III).</w:t>
      </w:r>
    </w:p>
    <w:p>
      <w:pPr>
        <w:spacing w:after="120" w:line="264"/>
        <w:jc w:val="both"/>
      </w:pPr>
      <w:r>
        <w:t xml:space="preserve">[REVIEW NOTE: complete each schedule with counsel for the sectors actually onboarded.]</w:t>
      </w:r>
    </w:p>
    <w:p>
      <w:pPr>
        <w:pStyle w:val="Heading1"/>
      </w:pPr>
      <w:r>
        <w:t xml:space="preserve">Appendix — Sources and References</w:t>
      </w:r>
    </w:p>
    <w:p>
      <w:pPr>
        <w:spacing w:after="120" w:line="264"/>
        <w:jc w:val="both"/>
      </w:pPr>
      <w:r>
        <w:t xml:space="preserve">Primary legislation is authoritative only in the Official Journal version on EUR-Lex. Regulatory status reflects mid-2026 and the not-yet-adopted Digital Omnibus on AI.</w:t>
      </w:r>
    </w:p>
    <w:p>
      <w:pPr>
        <w:pStyle w:val="ListParagraph"/>
        <w:numPr>
          <w:ilvl w:val="0"/>
          <w:numId w:val="2"/>
        </w:numPr>
        <w:spacing w:after="60" w:line="260"/>
      </w:pPr>
      <w:r>
        <w:t xml:space="preserve">GDPR — Regulation (EU) 2016/679 — </w:t>
      </w:r>
      <w:hyperlink w:history="1" r:id="rIdpeyfhbjktmova88igcrfw">
        <w:r>
          <w:rPr>
            <w:rStyle w:val="Hyperlink"/>
          </w:rPr>
          <w:t xml:space="preserve">https://eur-lex.europa.eu/eli/reg/2016/679/oj/eng</w:t>
        </w:r>
      </w:hyperlink>
    </w:p>
    <w:p>
      <w:pPr>
        <w:pStyle w:val="ListParagraph"/>
        <w:numPr>
          <w:ilvl w:val="0"/>
          <w:numId w:val="2"/>
        </w:numPr>
        <w:spacing w:after="60" w:line="260"/>
      </w:pPr>
      <w:r>
        <w:t xml:space="preserve">EU AI Act — Regulation (EU) 2024/1689 — </w:t>
      </w:r>
      <w:hyperlink w:history="1" r:id="rId232dwyrqlkh-mlse5jthv">
        <w:r>
          <w:rPr>
            <w:rStyle w:val="Hyperlink"/>
          </w:rPr>
          <w:t xml:space="preserve">https://eur-lex.europa.eu/eli/reg/2024/1689/oj/eng</w:t>
        </w:r>
      </w:hyperlink>
    </w:p>
    <w:p>
      <w:pPr>
        <w:pStyle w:val="ListParagraph"/>
        <w:numPr>
          <w:ilvl w:val="0"/>
          <w:numId w:val="2"/>
        </w:numPr>
        <w:spacing w:after="60" w:line="260"/>
      </w:pPr>
      <w:r>
        <w:t xml:space="preserve">DORA — Regulation (EU) 2022/2554 — </w:t>
      </w:r>
      <w:hyperlink w:history="1" r:id="rIdzqfnbkjy-gf96dodz7qiz">
        <w:r>
          <w:rPr>
            <w:rStyle w:val="Hyperlink"/>
          </w:rPr>
          <w:t xml:space="preserve">https://eur-lex.europa.eu/legal-content/en/TXT/?uri=CELEX:32022R2554</w:t>
        </w:r>
      </w:hyperlink>
    </w:p>
    <w:p>
      <w:pPr>
        <w:pStyle w:val="ListParagraph"/>
        <w:numPr>
          <w:ilvl w:val="0"/>
          <w:numId w:val="2"/>
        </w:numPr>
        <w:spacing w:after="60" w:line="260"/>
      </w:pPr>
      <w:r>
        <w:t xml:space="preserve">IDD — Directive (EU) 2016/97 — </w:t>
      </w:r>
      <w:hyperlink w:history="1" r:id="rIdu9-c8gunc_y3qlheb613i">
        <w:r>
          <w:rPr>
            <w:rStyle w:val="Hyperlink"/>
          </w:rPr>
          <w:t xml:space="preserve">https://eur-lex.europa.eu/eli/dir/2016/97/oj/eng</w:t>
        </w:r>
      </w:hyperlink>
    </w:p>
    <w:p>
      <w:pPr>
        <w:pStyle w:val="ListParagraph"/>
        <w:numPr>
          <w:ilvl w:val="0"/>
          <w:numId w:val="2"/>
        </w:numPr>
        <w:spacing w:after="60" w:line="260"/>
      </w:pPr>
      <w:r>
        <w:t xml:space="preserve">European Accessibility Act — Directive (EU) 2019/882 — </w:t>
      </w:r>
      <w:hyperlink w:history="1" r:id="rIdsxxjc3jlapocjpdlusi4z">
        <w:r>
          <w:rPr>
            <w:rStyle w:val="Hyperlink"/>
          </w:rPr>
          <w:t xml:space="preserve">https://eur-lex.europa.eu/eli/dir/2019/882/oj/eng</w:t>
        </w:r>
      </w:hyperlink>
    </w:p>
    <w:p>
      <w:pPr>
        <w:pStyle w:val="ListParagraph"/>
        <w:numPr>
          <w:ilvl w:val="0"/>
          <w:numId w:val="2"/>
        </w:numPr>
        <w:spacing w:after="60" w:line="260"/>
      </w:pPr>
      <w:r>
        <w:t xml:space="preserve">NIS2 — Directive (EU) 2022/2555 — </w:t>
      </w:r>
      <w:hyperlink w:history="1" r:id="rIdiau3ya0ho1smf339oklck">
        <w:r>
          <w:rPr>
            <w:rStyle w:val="Hyperlink"/>
          </w:rPr>
          <w:t xml:space="preserve">https://eur-lex.europa.eu/eli/dir/2022/2555/oj/eng</w:t>
        </w:r>
      </w:hyperlink>
    </w:p>
    <w:p>
      <w:pPr>
        <w:pStyle w:val="ListParagraph"/>
        <w:numPr>
          <w:ilvl w:val="0"/>
          <w:numId w:val="2"/>
        </w:numPr>
        <w:spacing w:after="60" w:line="260"/>
      </w:pPr>
      <w:r>
        <w:t xml:space="preserve">EU AI Act timeline &amp; Annex III (EC AI Act Service Desk) — </w:t>
      </w:r>
      <w:hyperlink w:history="1" r:id="rIdmetj1k_pc5t0fsegwsrd8">
        <w:r>
          <w:rPr>
            <w:rStyle w:val="Hyperlink"/>
          </w:rPr>
          <w:t xml:space="preserve">https://ai-act-service-desk.ec.europa.eu</w:t>
        </w:r>
      </w:hyperlink>
    </w:p>
    <w:p>
      <w:pPr>
        <w:pStyle w:val="ListParagraph"/>
        <w:numPr>
          <w:ilvl w:val="0"/>
          <w:numId w:val="2"/>
        </w:numPr>
        <w:spacing w:after="60" w:line="260"/>
      </w:pPr>
      <w:r>
        <w:t xml:space="preserve">Digital Omnibus on AI — Council press release (7 May 2026) — </w:t>
      </w:r>
      <w:hyperlink w:history="1" r:id="rIdanzajyg_d4iyipoumihas">
        <w:r>
          <w:rPr>
            <w:rStyle w:val="Hyperlink"/>
          </w:rPr>
          <w:t xml:space="preserve">https://www.consilium.europa.eu/en/press/press-releases/2026/05/07/artificial-intelligence-council-and-parliament-agree-to-simplify-and-streamline-rules/</w:t>
        </w:r>
      </w:hyperlink>
    </w:p>
    <w:p>
      <w:pPr>
        <w:pStyle w:val="ListParagraph"/>
        <w:numPr>
          <w:ilvl w:val="0"/>
          <w:numId w:val="2"/>
        </w:numPr>
        <w:spacing w:after="60" w:line="260"/>
      </w:pPr>
      <w:r>
        <w:t xml:space="preserve">EIOPA — DORA overview — </w:t>
      </w:r>
      <w:hyperlink w:history="1" r:id="rIducflqduhqklzg4zrpw7jz">
        <w:r>
          <w:rPr>
            <w:rStyle w:val="Hyperlink"/>
          </w:rPr>
          <w:t xml:space="preserve">https://www.eiopa.europa.eu/digital-operational-resilience-act-dora_en</w:t>
        </w:r>
      </w:hyperlink>
    </w:p>
    <w:p>
      <w:pPr>
        <w:pStyle w:val="ListParagraph"/>
        <w:numPr>
          <w:ilvl w:val="0"/>
          <w:numId w:val="2"/>
        </w:numPr>
        <w:spacing w:after="60" w:line="260"/>
      </w:pPr>
      <w:r>
        <w:t xml:space="preserve">EU-US Data Privacy Framework — participant list — </w:t>
      </w:r>
      <w:hyperlink w:history="1" r:id="rIdxob-nyklrjykqrucpkqqq">
        <w:r>
          <w:rPr>
            <w:rStyle w:val="Hyperlink"/>
          </w:rPr>
          <w:t xml:space="preserve">https://www.dataprivacyframework.gov/list</w:t>
        </w:r>
      </w:hyperlink>
    </w:p>
    <w:p>
      <w:pPr>
        <w:pStyle w:val="ListParagraph"/>
        <w:numPr>
          <w:ilvl w:val="0"/>
          <w:numId w:val="2"/>
        </w:numPr>
        <w:spacing w:after="60" w:line="260"/>
      </w:pPr>
      <w:r>
        <w:t xml:space="preserve">Cyprus — Commissioner for the Protection of Personal Data — </w:t>
      </w:r>
      <w:hyperlink w:history="1" r:id="rIdd0ldw5pmvfrdgxcr9ep5y">
        <w:r>
          <w:rPr>
            <w:rStyle w:val="Hyperlink"/>
          </w:rPr>
          <w:t xml:space="preserve">https://www.dataprotection.gov.cy</w:t>
        </w:r>
      </w:hyperlink>
    </w:p>
    <w:p>
      <w:pPr>
        <w:pStyle w:val="ListParagraph"/>
        <w:numPr>
          <w:ilvl w:val="0"/>
          <w:numId w:val="2"/>
        </w:numPr>
        <w:spacing w:after="60" w:line="260"/>
      </w:pPr>
      <w:r>
        <w:t xml:space="preserve">Cyprus — Superintendent of Insurance (Insurance Companies Control Service) — </w:t>
      </w:r>
      <w:hyperlink w:history="1" r:id="rIdld597jhjm-hemleerxhu6">
        <w:r>
          <w:rPr>
            <w:rStyle w:val="Hyperlink"/>
          </w:rPr>
          <w:t xml:space="preserve">https://www.gov.cy/mof/en/insurance-companies-control-service/</w:t>
        </w:r>
      </w:hyperlink>
    </w:p>
    <w:p>
      <w:pPr>
        <w:pStyle w:val="ListParagraph"/>
        <w:numPr>
          <w:ilvl w:val="0"/>
          <w:numId w:val="2"/>
        </w:numPr>
        <w:spacing w:after="60" w:line="260"/>
      </w:pPr>
      <w:r>
        <w:t xml:space="preserve">Voiceflow — Billing — </w:t>
      </w:r>
      <w:hyperlink w:history="1" r:id="rIdvyjm8xdj_7bgz3lt1brxj">
        <w:r>
          <w:rPr>
            <w:rStyle w:val="Hyperlink"/>
          </w:rPr>
          <w:t xml:space="preserve">https://docs.voiceflow.com/documentation/account-management/billing</w:t>
        </w:r>
      </w:hyperlink>
    </w:p>
    <w:p>
      <w:pPr>
        <w:pStyle w:val="ListParagraph"/>
        <w:numPr>
          <w:ilvl w:val="0"/>
          <w:numId w:val="2"/>
        </w:numPr>
        <w:spacing w:after="60" w:line="260"/>
      </w:pPr>
      <w:r>
        <w:t xml:space="preserve">Voiceflow — Authentication / API keys — </w:t>
      </w:r>
      <w:hyperlink w:history="1" r:id="rIddkpeoxdair_lb1nuytony">
        <w:r>
          <w:rPr>
            <w:rStyle w:val="Hyperlink"/>
          </w:rPr>
          <w:t xml:space="preserve">https://docs.voiceflow.com/api-reference/authentication</w:t>
        </w:r>
      </w:hyperlink>
    </w:p>
    <w:p>
      <w:pPr>
        <w:pStyle w:val="ListParagraph"/>
        <w:numPr>
          <w:ilvl w:val="0"/>
          <w:numId w:val="2"/>
        </w:numPr>
        <w:spacing w:after="60" w:line="260"/>
      </w:pPr>
      <w:r>
        <w:t xml:space="preserve">Voiceflow — Secrets — </w:t>
      </w:r>
      <w:hyperlink w:history="1" r:id="rId6hlqcsqmfass3ucpdugrs">
        <w:r>
          <w:rPr>
            <w:rStyle w:val="Hyperlink"/>
          </w:rPr>
          <w:t xml:space="preserve">https://docs.voiceflow.com/documentation/building/data/secrets</w:t>
        </w:r>
      </w:hyperlink>
    </w:p>
    <w:p>
      <w:pPr>
        <w:pStyle w:val="ListParagraph"/>
        <w:numPr>
          <w:ilvl w:val="0"/>
          <w:numId w:val="2"/>
        </w:numPr>
        <w:spacing w:after="60" w:line="260"/>
      </w:pPr>
      <w:r>
        <w:t xml:space="preserve">Voiceflow — PII redaction — </w:t>
      </w:r>
      <w:hyperlink w:history="1" r:id="rIdkua-jgf-55zflgsahwfj8">
        <w:r>
          <w:rPr>
            <w:rStyle w:val="Hyperlink"/>
          </w:rPr>
          <w:t xml:space="preserve">https://docs.voiceflow.com/documentation/build/data/pii-redaction</w:t>
        </w:r>
      </w:hyperlink>
    </w:p>
    <w:p>
      <w:pPr>
        <w:pStyle w:val="ListParagraph"/>
        <w:numPr>
          <w:ilvl w:val="0"/>
          <w:numId w:val="2"/>
        </w:numPr>
        <w:spacing w:after="60" w:line="260"/>
      </w:pPr>
      <w:r>
        <w:t xml:space="preserve">Voiceflow — Security &amp; certifications — </w:t>
      </w:r>
      <w:hyperlink w:history="1" r:id="rIdr-mllrji-mhmuogoi9aim">
        <w:r>
          <w:rPr>
            <w:rStyle w:val="Hyperlink"/>
          </w:rPr>
          <w:t xml:space="preserve">https://www.voiceflow.com/legal/security</w:t>
        </w:r>
      </w:hyperlink>
    </w:p>
    <w:p>
      <w:pPr>
        <w:pStyle w:val="ListParagraph"/>
        <w:numPr>
          <w:ilvl w:val="0"/>
          <w:numId w:val="2"/>
        </w:numPr>
        <w:spacing w:after="60" w:line="260"/>
      </w:pPr>
      <w:r>
        <w:t xml:space="preserve">Voiceflow — Data Processing Addendum — </w:t>
      </w:r>
      <w:hyperlink w:history="1" r:id="rIdawazfud-onhktnr22ivmw">
        <w:r>
          <w:rPr>
            <w:rStyle w:val="Hyperlink"/>
          </w:rPr>
          <w:t xml:space="preserve">https://www.voiceflow.com/legal/dpa</w:t>
        </w:r>
      </w:hyperlink>
    </w:p>
    <w:p>
      <w:pPr>
        <w:pStyle w:val="ListParagraph"/>
        <w:numPr>
          <w:ilvl w:val="0"/>
          <w:numId w:val="2"/>
        </w:numPr>
        <w:spacing w:after="60" w:line="260"/>
      </w:pPr>
      <w:r>
        <w:t xml:space="preserve">EN 301 549 (ETSI/CEN) and WCAG 2.1 (W3C) — </w:t>
      </w:r>
      <w:hyperlink w:history="1" r:id="rIdxcg5-odg2xswtuupm-kbt">
        <w:r>
          <w:rPr>
            <w:rStyle w:val="Hyperlink"/>
          </w:rPr>
          <w:t xml:space="preserve">https://www.w3.org/TR/WCAG21/</w:t>
        </w:r>
      </w:hyperlink>
    </w:p>
    <w:p>
      <w:pPr>
        <w:pStyle w:val="ListParagraph"/>
        <w:numPr>
          <w:ilvl w:val="0"/>
          <w:numId w:val="2"/>
        </w:numPr>
        <w:spacing w:after="70" w:line="260"/>
      </w:pPr>
      <w:r>
        <w:t xml:space="preserve">Consumer Rights Directive — Directive 2011/83/EU — https://eur-lex.europa.eu/eli/dir/2011/83/oj/eng</w:t>
      </w:r>
    </w:p>
    <w:p>
      <w:pPr>
        <w:pStyle w:val="ListParagraph"/>
        <w:numPr>
          <w:ilvl w:val="0"/>
          <w:numId w:val="2"/>
        </w:numPr>
        <w:spacing w:after="70" w:line="260"/>
      </w:pPr>
      <w:r>
        <w:t xml:space="preserve">Unfair Commercial Practices Directive — Directive 2005/29/EC — https://eur-lex.europa.eu/eli/dir/2005/29/oj/eng</w:t>
      </w:r>
    </w:p>
    <w:p>
      <w:pPr>
        <w:pStyle w:val="ListParagraph"/>
        <w:numPr>
          <w:ilvl w:val="0"/>
          <w:numId w:val="2"/>
        </w:numPr>
        <w:spacing w:after="70" w:line="260"/>
      </w:pPr>
      <w:r>
        <w:t xml:space="preserve">Medical Devices Regulation — Regulation (EU) 2017/745 — https://eur-lex.europa.eu/eli/reg/2017/745/oj/eng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before="0"/>
    </w:pPr>
    <w:r>
      <w:rPr>
        <w:color w:val="999999"/>
        <w:sz w:val="14"/>
        <w:szCs w:val="14"/>
      </w:rPr>
      <w:t xml:space="preserve">DRAFT FOR LEGAL REVIEW — NOT LEGAL ADVICE — PRIVILEGED &amp; CONFIDENTIAL</w:t>
    </w:r>
    <w:r>
      <w:rPr>
        <w:color w:val="999999"/>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color w:val="888888"/>
        <w:sz w:val="16"/>
        <w:szCs w:val="16"/>
      </w:rPr>
      <w:t xml:space="preserve">Legal, Compliance &amp; Contractual Framework</w:t>
    </w:r>
    <w:r>
      <w:rPr>
        <w:color w:val="888888"/>
        <w:sz w:val="16"/>
        <w:szCs w:val="16"/>
      </w:rPr>
      <w:t xml:space="preserve">	[COMPANY NAME]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1F3864"/>
      <w:sz w:val="52"/>
      <w:szCs w:val="52"/>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4B7A"/>
      <w:sz w:val="25"/>
      <w:szCs w:val="25"/>
    </w:rPr>
  </w:style>
  <w:style w:type="paragraph" w:styleId="Heading3">
    <w:name w:val="Heading 3"/>
    <w:basedOn w:val="Normal"/>
    <w:next w:val="Normal"/>
    <w:qFormat/>
    <w:pPr>
      <w:spacing w:after="6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eyfhbjktmova88igcrfw" Type="http://schemas.openxmlformats.org/officeDocument/2006/relationships/hyperlink" Target="https://eur-lex.europa.eu/eli/reg/2016/679/oj/eng" TargetMode="External"/><Relationship Id="rId232dwyrqlkh-mlse5jthv" Type="http://schemas.openxmlformats.org/officeDocument/2006/relationships/hyperlink" Target="https://eur-lex.europa.eu/eli/reg/2024/1689/oj/eng" TargetMode="External"/><Relationship Id="rIdzqfnbkjy-gf96dodz7qiz" Type="http://schemas.openxmlformats.org/officeDocument/2006/relationships/hyperlink" Target="https://eur-lex.europa.eu/legal-content/en/TXT/?uri=CELEX:32022R2554" TargetMode="External"/><Relationship Id="rIdu9-c8gunc_y3qlheb613i" Type="http://schemas.openxmlformats.org/officeDocument/2006/relationships/hyperlink" Target="https://eur-lex.europa.eu/eli/dir/2016/97/oj/eng" TargetMode="External"/><Relationship Id="rIdsxxjc3jlapocjpdlusi4z" Type="http://schemas.openxmlformats.org/officeDocument/2006/relationships/hyperlink" Target="https://eur-lex.europa.eu/eli/dir/2019/882/oj/eng" TargetMode="External"/><Relationship Id="rIdiau3ya0ho1smf339oklck" Type="http://schemas.openxmlformats.org/officeDocument/2006/relationships/hyperlink" Target="https://eur-lex.europa.eu/eli/dir/2022/2555/oj/eng" TargetMode="External"/><Relationship Id="rIdmetj1k_pc5t0fsegwsrd8" Type="http://schemas.openxmlformats.org/officeDocument/2006/relationships/hyperlink" Target="https://ai-act-service-desk.ec.europa.eu" TargetMode="External"/><Relationship Id="rIdanzajyg_d4iyipoumihas" Type="http://schemas.openxmlformats.org/officeDocument/2006/relationships/hyperlink" Target="https://www.consilium.europa.eu/en/press/press-releases/2026/05/07/artificial-intelligence-council-and-parliament-agree-to-simplify-and-streamline-rules/" TargetMode="External"/><Relationship Id="rIducflqduhqklzg4zrpw7jz" Type="http://schemas.openxmlformats.org/officeDocument/2006/relationships/hyperlink" Target="https://www.eiopa.europa.eu/digital-operational-resilience-act-dora_en" TargetMode="External"/><Relationship Id="rIdxob-nyklrjykqrucpkqqq" Type="http://schemas.openxmlformats.org/officeDocument/2006/relationships/hyperlink" Target="https://www.dataprivacyframework.gov/list" TargetMode="External"/><Relationship Id="rIdd0ldw5pmvfrdgxcr9ep5y" Type="http://schemas.openxmlformats.org/officeDocument/2006/relationships/hyperlink" Target="https://www.dataprotection.gov.cy" TargetMode="External"/><Relationship Id="rIdld597jhjm-hemleerxhu6" Type="http://schemas.openxmlformats.org/officeDocument/2006/relationships/hyperlink" Target="https://www.gov.cy/mof/en/insurance-companies-control-service/" TargetMode="External"/><Relationship Id="rIdvyjm8xdj_7bgz3lt1brxj" Type="http://schemas.openxmlformats.org/officeDocument/2006/relationships/hyperlink" Target="https://docs.voiceflow.com/documentation/account-management/billing" TargetMode="External"/><Relationship Id="rIddkpeoxdair_lb1nuytony" Type="http://schemas.openxmlformats.org/officeDocument/2006/relationships/hyperlink" Target="https://docs.voiceflow.com/api-reference/authentication" TargetMode="External"/><Relationship Id="rId6hlqcsqmfass3ucpdugrs" Type="http://schemas.openxmlformats.org/officeDocument/2006/relationships/hyperlink" Target="https://docs.voiceflow.com/documentation/building/data/secrets" TargetMode="External"/><Relationship Id="rIdkua-jgf-55zflgsahwfj8" Type="http://schemas.openxmlformats.org/officeDocument/2006/relationships/hyperlink" Target="https://docs.voiceflow.com/documentation/build/data/pii-redaction" TargetMode="External"/><Relationship Id="rIdr-mllrji-mhmuogoi9aim" Type="http://schemas.openxmlformats.org/officeDocument/2006/relationships/hyperlink" Target="https://www.voiceflow.com/legal/security" TargetMode="External"/><Relationship Id="rIdawazfud-onhktnr22ivmw" Type="http://schemas.openxmlformats.org/officeDocument/2006/relationships/hyperlink" Target="https://www.voiceflow.com/legal/dpa" TargetMode="External"/><Relationship Id="rIdxcg5-odg2xswtuupm-kbt" Type="http://schemas.openxmlformats.org/officeDocument/2006/relationships/hyperlink" Target="https://www.w3.org/TR/WCAG21/"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2026-06-05T22:37:04.618Z</dcterms:created>
  <dcterms:modified xsi:type="dcterms:W3CDTF">2026-06-05T22:37:04.618Z</dcterms:modified>
</cp:coreProperties>
</file>

<file path=docProps/custom.xml><?xml version="1.0" encoding="utf-8"?>
<Properties xmlns="http://schemas.openxmlformats.org/officeDocument/2006/custom-properties" xmlns:vt="http://schemas.openxmlformats.org/officeDocument/2006/docPropsVTypes"/>
</file>