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pStyle w:val="Title"/>
        <w:spacing w:after="120"/>
      </w:pPr>
      <w:r>
        <w:t xml:space="preserve">Legal &amp; Compliance — Executive Summary</w:t>
      </w:r>
    </w:p>
    <w:p>
      <w:pPr>
        <w:pBdr>
          <w:bottom w:val="single" w:color="2E75B6" w:sz="12" w:space="8"/>
        </w:pBdr>
        <w:spacing w:after="400"/>
      </w:pPr>
      <w:r>
        <w:rPr>
          <w:color w:val="555555"/>
          <w:sz w:val="26"/>
          <w:szCs w:val="26"/>
        </w:rPr>
        <w:t xml:space="preserve">Multi-Sector AI Assistant Platform for European Businesses</w:t>
      </w:r>
    </w:p>
    <w:p>
      <w:pPr>
        <w:spacing w:after="60"/>
      </w:pPr>
      <w:r>
        <w:rPr>
          <w:b/>
          <w:bCs/>
        </w:rPr>
        <w:t xml:space="preserve">Prepared for: </w:t>
      </w:r>
      <w:r>
        <w:t xml:space="preserve">[Company Name] Ltd, Nicosia, Cyprus</w:t>
      </w:r>
    </w:p>
    <w:p>
      <w:pPr>
        <w:spacing w:after="60"/>
      </w:pPr>
      <w:r>
        <w:rPr>
          <w:b/>
          <w:bCs/>
        </w:rPr>
        <w:t xml:space="preserve">Audience: </w:t>
      </w:r>
      <w:r>
        <w:t xml:space="preserve">Clients (businesses across sectors)</w:t>
      </w:r>
    </w:p>
    <w:p>
      <w:pPr>
        <w:spacing w:after="60"/>
      </w:pPr>
      <w:r>
        <w:rPr>
          <w:b/>
          <w:bCs/>
        </w:rPr>
        <w:t xml:space="preserve">Version / date: </w:t>
      </w:r>
      <w:r>
        <w:t xml:space="preserve">Draft v1.0 — [date]</w:t>
      </w:r>
    </w:p>
    <w:p>
      <w:pPr>
        <w:pBdr>
          <w:left w:val="single" w:color="C8881B" w:sz="18" w:space="8"/>
        </w:pBdr>
        <w:shd w:fill="FDF1D6" w:val="clear"/>
        <w:spacing w:after="0" w:before="360"/>
      </w:pPr>
      <w:r>
        <w:rPr>
          <w:b/>
          <w:bCs/>
          <w:color w:val="8A5A00"/>
        </w:rPr>
        <w:t xml:space="preserve">IMPORTANT — NOT LEGAL ADVICE. </w:t>
      </w:r>
      <w:r>
        <w:rPr>
          <w:i/>
          <w:iCs/>
          <w:color w:val="5C4400"/>
        </w:rPr>
        <w:t xml:space="preserve">This document is a professional drafting template prepared to wrap up the project’s technical and regulatory work. It is not legal advice and is not a substitute for review by qualified Cyprus/EU counsel. Bracketed [PLACEHOLDERS] must be completed and every clause confirmed before use, filing, or publication.</w:t>
      </w:r>
    </w:p>
    <w:p>
      <w:r>
        <w:br w:type="page"/>
      </w:r>
    </w:p>
    <w:p>
      <w:pPr>
        <w:pStyle w:val="Heading1"/>
      </w:pPr>
      <w:r>
        <w:t xml:space="preserve">In brief</w:t>
      </w:r>
    </w:p>
    <w:p>
      <w:pPr>
        <w:spacing w:after="120" w:line="264"/>
        <w:jc w:val="both"/>
      </w:pPr>
      <w:r>
        <w:t xml:space="preserve">[Company Name] Ltd provides white-label AI assistants (customer service, intake &amp; triage, product/FAQ Q&amp;A, lead qualification, booking and scheduling) to EU businesses across sectors — including e-commerce &amp; retail, financial services &amp; insurance, healthcare providers, legal &amp; professional services, travel &amp; hospitality, telecoms &amp; utilities, real estate, and education — built on the Voiceflow engine and a Laravel application, with the engine isolated behind one internal interface. The Platform excludes by design all high-risk uses under EU AI Act Annex III (e.g., recruitment screening, exam scoring, credit scoring, life/health insurance pricing, eligibility decisions for essential services).</w:t>
      </w:r>
    </w:p>
    <w:p>
      <w:pPr>
        <w:pStyle w:val="Heading1"/>
      </w:pPr>
      <w:r>
        <w:t xml:space="preserve">Roles</w:t>
      </w:r>
    </w:p>
    <w:p>
      <w:pPr>
        <w:spacing w:after="120" w:line="264"/>
        <w:jc w:val="both"/>
      </w:pPr>
      <w:r>
        <w:t xml:space="preserve">GDPR: we are processor, the Client is controller. AI Act: we are provider, the Client is deployer. Sector regimes apply conditionally: DORA (we are an ICT third-party provider) where the Client is a financial entity; IDD only if an assistant performs insurance-distribution acts; healthcare, legal, consumer-protection and other sector rules remain the Client’s responsibility, supported by the Platform’s controls.</w:t>
      </w:r>
    </w:p>
    <w:p>
      <w:pPr>
        <w:pStyle w:val="Heading1"/>
      </w:pPr>
      <w:r>
        <w:t xml:space="preserve">Key compliance commitments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AI disclosure to end-users (AI Act Article 50, from 2 August 2026).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Explicit consent before any special-category data (health, biometric, etc. — GDPR Article 9), relevant across healthcare, insurance and other sectors.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No AI Act Annex III high-risk uses: no recruitment/HR screening, education scoring, credit scoring, life/health insurance pricing or underwriting, or eligibility decisions for essential public or private services.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For financial-sector Clients (insurers, banks, investment firms, payment institutions): DORA Article 30 contractual terms, tiered by criticality; exit and portability supported.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Regulated-activity gating: product recommendations or other regulated acts (e.g., insurance distribution under IDD) only where the Client attests to the required registration/licence; assistants never give legal, medical or financial advice — such queries route to a human.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Interface targeting WCAG 2.1 AA (European Accessibility Act).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EU-US transfers on Standard Contractual Clauses + Transfer Impact Assessment (engine not DPF-certified on current evidence).</w:t>
      </w:r>
    </w:p>
    <w:p>
      <w:pPr>
        <w:pStyle w:val="Heading1"/>
      </w:pPr>
      <w:r>
        <w:t xml:space="preserve">Contracts</w:t>
      </w:r>
    </w:p>
    <w:p>
      <w:pPr>
        <w:spacing w:after="120" w:line="264"/>
        <w:jc w:val="both"/>
      </w:pPr>
      <w:r>
        <w:t xml:space="preserve">Data Processing Agreement (Article 28); Terms of Service (Cyprus governing law, accuracy disclaimer, liability caps); sector addenda as applicable (DORA addendum for financial-sector Clients; sector schedules for healthcare, insurance distribution, etc.); End-User AI notice.</w:t>
      </w:r>
    </w:p>
    <w:p>
      <w:pPr>
        <w:pStyle w:val="Heading1"/>
      </w:pPr>
      <w:r>
        <w:t xml:space="preserve">Cyprus authorities</w:t>
      </w:r>
    </w:p>
    <w:p>
      <w:pPr>
        <w:spacing w:after="120" w:line="264"/>
        <w:jc w:val="both"/>
      </w:pPr>
      <w:r>
        <w:t xml:space="preserve">Data protection: Commissioner for the Protection of Personal Data. Sector supervisors apply per Client — e.g., Superintendent of Insurance (insurance), Central Bank of Cyprus (banks/payments), CySEC (investment firms), Ministry of Health (healthcare providers), Cyprus Bar Association (law firms).</w:t>
      </w:r>
    </w:p>
    <w:p>
      <w:pPr>
        <w:pBdr>
          <w:top w:val="single" w:color="E8C46B" w:sz="2" w:space="4"/>
          <w:bottom w:val="single" w:color="E8C46B" w:sz="2" w:space="4"/>
          <w:left w:val="single" w:color="C8881B" w:sz="18" w:space="8"/>
        </w:pBdr>
        <w:shd w:fill="FDF1D6" w:val="clear"/>
        <w:spacing w:after="140" w:before="100" w:line="260"/>
      </w:pPr>
      <w:r>
        <w:rPr>
          <w:b/>
          <w:bCs/>
          <w:color w:val="8A5A00"/>
        </w:rPr>
        <w:t xml:space="preserve">REVIEW NOTE: </w:t>
      </w:r>
      <w:r>
        <w:rPr>
          <w:i/>
          <w:iCs/>
          <w:color w:val="5C4400"/>
        </w:rPr>
        <w:t xml:space="preserve">Drafting summary only — not legal advice. Complete and confirm with qualified Cyprus/EU counsel.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</w:pPr>
    <w:r>
      <w:rPr>
        <w:color w:val="999999"/>
        <w:sz w:val="14"/>
        <w:szCs w:val="14"/>
      </w:rPr>
      <w:t xml:space="preserve">DRAFT FOR LEGAL REVIEW — NOT LEGAL ADVICE — PRIVILEGED &amp; CONFIDENTIAL</w:t>
    </w:r>
    <w:r>
      <w:rPr>
        <w:color w:val="999999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color w:val="888888"/>
        <w:sz w:val="16"/>
        <w:szCs w:val="16"/>
      </w:rPr>
      <w:t xml:space="preserve">Legal &amp; Compliance — Executive Summary</w:t>
    </w:r>
    <w:r>
      <w:rPr>
        <w:color w:val="888888"/>
        <w:sz w:val="16"/>
        <w:szCs w:val="16"/>
      </w:rPr>
      <w:t xml:space="preserve">	[COMPANY NAME]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B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2026-06-05T22:37:04.632Z</dcterms:created>
  <dcterms:modified xsi:type="dcterms:W3CDTF">2026-06-05T22:37:04.632Z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