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B4F8A"/>
          <w:sz w:val="72"/>
          <w:szCs w:val="72"/>
        </w:rPr>
        <w:t xml:space="preserve">NeoERP</w:t>
      </w:r>
    </w:p>
    <w:p>
      <w:pPr>
        <w:spacing w:after="0" w:before="60"/>
      </w:pPr>
      <w:r>
        <w:rPr>
          <w:rFonts w:ascii="Arial" w:cs="Arial" w:eastAsia="Arial" w:hAnsi="Arial"/>
          <w:color w:val="2D7DD2"/>
          <w:sz w:val="48"/>
          <w:szCs w:val="48"/>
        </w:rPr>
        <w:t xml:space="preserve">Enterprise Architecture Guide</w:t>
      </w:r>
    </w:p>
    <w:p>
      <w:pPr>
        <w:pBdr>
          <w:bottom w:val="single" w:color="F0A500" w:sz="8" w:space="1"/>
        </w:pBdr>
        <w:spacing w:after="0" w:before="200"/>
      </w:pPr>
      <w:r>
        <w:rPr>
          <w:rFonts w:ascii="Arial" w:cs="Arial" w:eastAsia="Arial" w:hAnsi="Arial"/>
          <w:sz w:val="22"/>
          <w:szCs w:val="22"/>
        </w:rPr>
        <w:t xml:space="preserve"/>
      </w:r>
    </w:p>
    <w:p>
      <w:pPr>
        <w:spacing w:after="0" w:before="240"/>
      </w:pPr>
      <w:r>
        <w:rPr>
          <w:rFonts w:ascii="Arial" w:cs="Arial" w:eastAsia="Arial" w:hAnsi="Arial"/>
          <w:color w:val="5A5A7A"/>
          <w:sz w:val="28"/>
          <w:szCs w:val="28"/>
        </w:rPr>
        <w:t xml:space="preserve">Cross-Platform Mobile · Web · Desktop</w:t>
      </w:r>
    </w:p>
    <w:p>
      <w:pPr>
        <w:spacing w:after="1440" w:before="120"/>
      </w:pPr>
      <w:r>
        <w:rPr>
          <w:rFonts w:ascii="Arial" w:cs="Arial" w:eastAsia="Arial" w:hAnsi="Arial"/>
          <w:i/>
          <w:iCs/>
          <w:color w:val="5A5A7A"/>
          <w:sz w:val="22"/>
          <w:szCs w:val="22"/>
        </w:rPr>
        <w:t xml:space="preserve">Kotlin Multiplatform  ·  Compose Multiplatform  ·  Ktor  ·  Koin</w:t>
      </w:r>
    </w:p>
    <w:p>
      <w:r>
        <w:rPr>
          <w:rFonts w:ascii="Arial" w:cs="Arial" w:eastAsia="Arial" w:hAnsi="Arial"/>
          <w:b/>
          <w:bCs/>
          <w:color w:val="1A1A2E"/>
          <w:sz w:val="22"/>
          <w:szCs w:val="22"/>
        </w:rPr>
        <w:t xml:space="preserve">Version 2.0  </w:t>
      </w:r>
      <w:r>
        <w:rPr>
          <w:rFonts w:ascii="Arial" w:cs="Arial" w:eastAsia="Arial" w:hAnsi="Arial"/>
          <w:color w:val="5A5A7A"/>
          <w:sz w:val="22"/>
          <w:szCs w:val="22"/>
        </w:rPr>
        <w:t xml:space="preserve">  |  </w:t>
      </w:r>
      <w:r>
        <w:rPr>
          <w:rFonts w:ascii="Arial" w:cs="Arial" w:eastAsia="Arial" w:hAnsi="Arial"/>
          <w:color w:val="5A5A7A"/>
          <w:sz w:val="22"/>
          <w:szCs w:val="22"/>
        </w:rPr>
        <w:t xml:space="preserve">  April 2026  </w:t>
      </w:r>
      <w:r>
        <w:rPr>
          <w:rFonts w:ascii="Arial" w:cs="Arial" w:eastAsia="Arial" w:hAnsi="Arial"/>
          <w:color w:val="5A5A7A"/>
          <w:sz w:val="22"/>
          <w:szCs w:val="22"/>
        </w:rPr>
        <w:t xml:space="preserve">  |  </w:t>
      </w:r>
      <w:r>
        <w:rPr>
          <w:rFonts w:ascii="Arial" w:cs="Arial" w:eastAsia="Arial" w:hAnsi="Arial"/>
          <w:color w:val="5A5A7A"/>
          <w:sz w:val="22"/>
          <w:szCs w:val="22"/>
        </w:rPr>
        <w:t xml:space="preserve">  Prepared by Claude AI  </w:t>
      </w:r>
    </w:p>
    <w:p>
      <w:r>
        <w:br w:type="page"/>
      </w:r>
    </w:p>
    <w:p>
      <w:pPr>
        <w:pStyle w:val="Heading1"/>
        <w:spacing w:after="120" w:before="360"/>
      </w:pPr>
      <w:r>
        <w:rPr>
          <w:rFonts w:ascii="Arial" w:cs="Arial" w:eastAsia="Arial" w:hAnsi="Arial"/>
          <w:b/>
          <w:bCs/>
          <w:color w:val="1B4F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4F8A"/>
          <w:sz w:val="36"/>
          <w:szCs w:val="36"/>
        </w:rPr>
        <w:t xml:space="preserve">1. Executive Summary</w:t>
      </w:r>
    </w:p>
    <w:p>
      <w:pPr>
        <w:spacing w:after="80" w:before="60"/>
      </w:pPr>
      <w:r>
        <w:rPr>
          <w:rFonts w:ascii="Arial" w:cs="Arial" w:eastAsia="Arial" w:hAnsi="Arial"/>
          <w:b w:val="false"/>
          <w:bCs w:val="false"/>
          <w:color w:val="1A1A2E"/>
          <w:sz w:val="22"/>
          <w:szCs w:val="22"/>
        </w:rPr>
        <w:t xml:space="preserve">NeoERP is built on Kotlin Multiplatform (KMP) with Compose Multiplatform — a single shared Kotlin codebase that targets Android, iOS, JVM Desktop, and Web from one source tree. This document describes the recommended architecture for making that promise fully real across all five runtime targets, closing the current gaps on the web and WASM targets, and scaling the platform to a production-grade enterprise ERP.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EAF2FF"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Current targets: Android ✅ · iOS ✅ · JVM Desktop ✅ · JS Browser ⚠️ (stubbed) · WASM ⚠️ (stubbed)</w:t>
            </w:r>
          </w:p>
          <w:p>
            <w:pPr>
              <w:spacing w:after="40" w:before="40"/>
            </w:pPr>
            <w:r>
              <w:rPr>
                <w:rFonts w:ascii="Arial" w:cs="Arial" w:eastAsia="Arial" w:hAnsi="Arial"/>
                <w:color w:val="1A1A2E"/>
                <w:sz w:val="20"/>
                <w:szCs w:val="20"/>
              </w:rPr>
              <w:t xml:space="preserve">Root cause of web gaps: KMM-Network (the shared networking library) does not yet publish JS/WASM targets.</w:t>
            </w:r>
          </w:p>
          <w:p>
            <w:pPr>
              <w:spacing w:after="40" w:before="40"/>
            </w:pPr>
            <w:r>
              <w:rPr>
                <w:rFonts w:ascii="Arial" w:cs="Arial" w:eastAsia="Arial" w:hAnsi="Arial"/>
                <w:color w:val="1A1A2E"/>
                <w:sz w:val="20"/>
                <w:szCs w:val="20"/>
              </w:rPr>
              <w:t xml:space="preserve">Architecture goal: close those gaps using Ktor directly in commonMain, then standardise DI, navigation, and state across all platforms.</w:t>
            </w:r>
          </w:p>
        </w:tc>
      </w:tr>
    </w:tbl>
    <w:p>
      <w:pPr>
        <w:spacing w:after="40" w:before="40"/>
      </w:pPr>
      <w:r>
        <w:t xml:space="preserve"/>
      </w:r>
    </w:p>
    <w:p>
      <w:pPr>
        <w:pStyle w:val="Heading1"/>
        <w:spacing w:after="120" w:before="360"/>
      </w:pPr>
      <w:r>
        <w:rPr>
          <w:rFonts w:ascii="Arial" w:cs="Arial" w:eastAsia="Arial" w:hAnsi="Arial"/>
          <w:b/>
          <w:bCs/>
          <w:color w:val="1B4F8A"/>
          <w:sz w:val="36"/>
          <w:szCs w:val="36"/>
        </w:rPr>
        <w:t xml:space="preserve">2. Platform Target Matrix</w:t>
      </w:r>
    </w:p>
    <w:p>
      <w:pPr>
        <w:spacing w:after="80" w:before="60"/>
      </w:pPr>
      <w:r>
        <w:rPr>
          <w:rFonts w:ascii="Arial" w:cs="Arial" w:eastAsia="Arial" w:hAnsi="Arial"/>
          <w:b w:val="false"/>
          <w:bCs w:val="false"/>
          <w:color w:val="1A1A2E"/>
          <w:sz w:val="22"/>
          <w:szCs w:val="22"/>
        </w:rPr>
        <w:t xml:space="preserve">NeoERP targets five distinct runtime environments. The table below shows their current status and what is needed to reach production readiness on each.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200"/>
        <w:gridCol w:w="1000"/>
        <w:gridCol w:w="1400"/>
        <w:gridCol w:w="18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Set</w:t>
            </w:r>
          </w:p>
        </w:tc>
        <w:tc>
          <w:tcPr>
            <w:tcW w:type="dxa" w:w="11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UI</w:t>
            </w:r>
          </w:p>
        </w:tc>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w:t>
            </w:r>
          </w:p>
        </w:tc>
        <w:tc>
          <w:tcPr>
            <w:tcW w:type="dxa" w:w="1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1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Needed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Android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androidMain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Compose MP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KMM-Network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PKCE ✅</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Production-ready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Finish Koin DI wiring</w:t>
            </w:r>
          </w:p>
        </w:tc>
      </w:tr>
      <w:tr>
        <w:tc>
          <w:tcPr>
            <w:tcW w:type="dxa" w:w="1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iOS arm64</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iosMain</w:t>
            </w:r>
          </w:p>
        </w:tc>
        <w:tc>
          <w:tcPr>
            <w:tcW w:type="dxa" w:w="11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Compose MP</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KMM-Network ✅</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PKCE ✅</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Production-ready</w:t>
            </w:r>
          </w:p>
        </w:tc>
        <w:tc>
          <w:tcPr>
            <w:tcW w:type="dxa" w:w="1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Finish iOS callback deep-link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JVM Desktop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jvmMain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Compose Desktop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KMM-Network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OS deep-link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Near complete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Register OS deep-link scheme</w:t>
            </w:r>
          </w:p>
        </w:tc>
      </w:tr>
      <w:tr>
        <w:tc>
          <w:tcPr>
            <w:tcW w:type="dxa" w:w="16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JS Browser</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jsMain + webMain</w:t>
            </w:r>
          </w:p>
        </w:tc>
        <w:tc>
          <w:tcPr>
            <w:tcW w:type="dxa" w:w="11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Compose Web (Canvas)</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Ktor JS ❌ missing</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PKCE S256 ❌</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Stubbed</w:t>
            </w:r>
          </w:p>
        </w:tc>
        <w:tc>
          <w:tcPr>
            <w:tcW w:type="dxa" w:w="1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Ktor JS engine + PKCE S256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WASM Browser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wasmJsMain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Compose WASM (Canvas)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Ktor WASM ❌ missing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PKCE S256 ❌</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Stubbed</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Ktor WASM engine + PKCE S256</w:t>
            </w:r>
          </w:p>
        </w:tc>
      </w:tr>
    </w:tbl>
    <w:p>
      <w:pPr>
        <w:spacing w:after="40" w:before="40"/>
      </w:pPr>
      <w:r>
        <w:t xml:space="preserve"/>
      </w:r>
    </w:p>
    <w:p>
      <w:pPr>
        <w:pStyle w:val="Heading1"/>
        <w:spacing w:after="120" w:before="360"/>
      </w:pPr>
      <w:r>
        <w:rPr>
          <w:rFonts w:ascii="Arial" w:cs="Arial" w:eastAsia="Arial" w:hAnsi="Arial"/>
          <w:b/>
          <w:bCs/>
          <w:color w:val="1B4F8A"/>
          <w:sz w:val="36"/>
          <w:szCs w:val="36"/>
        </w:rPr>
        <w:t xml:space="preserve">3. Architecture Layers</w:t>
      </w:r>
    </w:p>
    <w:p>
      <w:pPr>
        <w:spacing w:after="80" w:before="60"/>
      </w:pPr>
      <w:r>
        <w:rPr>
          <w:rFonts w:ascii="Arial" w:cs="Arial" w:eastAsia="Arial" w:hAnsi="Arial"/>
          <w:b w:val="false"/>
          <w:bCs w:val="false"/>
          <w:color w:val="1A1A2E"/>
          <w:sz w:val="22"/>
          <w:szCs w:val="22"/>
        </w:rPr>
        <w:t xml:space="preserve">NeoERP follows Clean Architecture with five strict layers. The dependency rule is enforced top-down: outer layers depend on inner layers, never the reverse.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F0F4FF"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PLATFORM SHELL (expect/actual)      │  Android · iOS · Desktop · Web</w:t>
            </w:r>
          </w:p>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COMPOSE UI (commonMain)              │  NeoEnterpriseShell + Feature Screens</w:t>
            </w:r>
          </w:p>
          <w:p>
            <w:pPr>
              <w:spacing w:after="40" w:before="40"/>
            </w:pPr>
            <w:r>
              <w:rPr>
                <w:rFonts w:ascii="Arial" w:cs="Arial" w:eastAsia="Arial" w:hAnsi="Arial"/>
                <w:color w:val="1A1A2E"/>
                <w:sz w:val="20"/>
                <w:szCs w:val="20"/>
              </w:rPr>
              <w:t xml:space="preserve">  │         NeoDesignSystem — shared tokens      │  Material 3 + NeoDS tokens</w:t>
            </w:r>
          </w:p>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PRESENTATION (commonMain)           │  FeatureState / StateMachine + Use Cases</w:t>
            </w:r>
          </w:p>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DOMAIN (commonMain)               │  Models · Repository interfaces</w:t>
            </w:r>
          </w:p>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DATA (commonMain)                │  RemoteRepository · MockRepository · DTOs</w:t>
            </w:r>
          </w:p>
          <w:p>
            <w:pPr>
              <w:spacing w:after="40" w:before="40"/>
            </w:pPr>
            <w:r>
              <w:rPr>
                <w:rFonts w:ascii="Arial" w:cs="Arial" w:eastAsia="Arial" w:hAnsi="Arial"/>
                <w:color w:val="1A1A2E"/>
                <w:sz w:val="20"/>
                <w:szCs w:val="20"/>
              </w:rPr>
              <w:t xml:space="preserve">  ├─────────────────────────────────────────────┤</w:t>
            </w:r>
          </w:p>
          <w:p>
            <w:pPr>
              <w:spacing w:after="40" w:before="40"/>
            </w:pPr>
            <w:r>
              <w:rPr>
                <w:rFonts w:ascii="Arial" w:cs="Arial" w:eastAsia="Arial" w:hAnsi="Arial"/>
                <w:color w:val="1A1A2E"/>
                <w:sz w:val="20"/>
                <w:szCs w:val="20"/>
              </w:rPr>
              <w:t xml:space="preserve">  │     NETWORK / PLATFORM (platform-specific)  │  Ktor engines · TokenStore · PKCE</w:t>
            </w:r>
          </w:p>
          <w:p>
            <w:pPr>
              <w:spacing w:after="40" w:before="40"/>
            </w:pPr>
            <w:r>
              <w:rPr>
                <w:rFonts w:ascii="Arial" w:cs="Arial" w:eastAsia="Arial" w:hAnsi="Arial"/>
                <w:color w:val="1A1A2E"/>
                <w:sz w:val="20"/>
                <w:szCs w:val="20"/>
              </w:rPr>
              <w:t xml:space="preserve">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60"/>
      </w:tblGrid>
      <w:tr>
        <w:trPr>
          <w:tblHeader/>
        </w:trPr>
        <w:tc>
          <w:tcPr>
            <w:tcW w:type="dxa" w:w="1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c>
          <w:tcPr>
            <w:tcW w:type="dxa" w:w="36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Platform Shell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androidMain / iosMain / jvmMain / jsMain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layers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Thin adapter only — no business logic</w:t>
            </w:r>
          </w:p>
        </w:tc>
      </w:tr>
      <w:tr>
        <w:tc>
          <w:tcPr>
            <w:tcW w:type="dxa" w:w="1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Compose UI</w:t>
            </w:r>
          </w:p>
        </w:tc>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ui/ · designsystem/</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Presentation + DesignSystem</w:t>
            </w:r>
          </w:p>
        </w:tc>
        <w:tc>
          <w:tcPr>
            <w:tcW w:type="dxa" w:w="36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 repository or data imports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Presentation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features/*/presentation/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 only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Uses use cases, not repositories directly</w:t>
            </w:r>
          </w:p>
        </w:tc>
      </w:tr>
      <w:tr>
        <w:tc>
          <w:tcPr>
            <w:tcW w:type="dxa" w:w="1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Domain</w:t>
            </w:r>
          </w:p>
        </w:tc>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features/*/domain/ · core/</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Nothing</w:t>
            </w:r>
          </w:p>
        </w:tc>
        <w:tc>
          <w:tcPr>
            <w:tcW w:type="dxa" w:w="36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Kotlin — no platform, no Ktor, no Compose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Data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 interfaces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Implements repository interfaces; maps DTOs</w:t>
            </w:r>
          </w:p>
        </w:tc>
      </w:tr>
      <w:tr>
        <w:tc>
          <w:tcPr>
            <w:tcW w:type="dxa" w:w="1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Network</w:t>
            </w:r>
          </w:p>
        </w:tc>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core/network/ + platform-specific</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contracts</w:t>
            </w:r>
          </w:p>
        </w:tc>
        <w:tc>
          <w:tcPr>
            <w:tcW w:type="dxa" w:w="36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Ktor + TokenStore; isolated behind expect/actual</w:t>
            </w:r>
          </w:p>
        </w:tc>
      </w:tr>
    </w:tbl>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4. Dependency Injection — Koin</w:t>
      </w:r>
    </w:p>
    <w:p>
      <w:pPr>
        <w:spacing w:after="80" w:before="60"/>
      </w:pPr>
      <w:r>
        <w:rPr>
          <w:rFonts w:ascii="Arial" w:cs="Arial" w:eastAsia="Arial" w:hAnsi="Arial"/>
          <w:b w:val="false"/>
          <w:bCs w:val="false"/>
          <w:color w:val="1A1A2E"/>
          <w:sz w:val="22"/>
          <w:szCs w:val="22"/>
        </w:rPr>
        <w:t xml:space="preserve">The current codebase uses a manual DI container (NeoEnterpriseContainer). The recommended migration is to Koin, which is already listed as a dependency in androidMain, iosMain, and jvmMain. Koin supports all KMP targets including JS and WASM.</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4.1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Koin Module</w:t>
            </w:r>
          </w:p>
        </w:tc>
        <w:tc>
          <w:tcPr>
            <w:tcW w:type="dxa" w:w="4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c>
          <w:tcPr>
            <w:tcW w:type="dxa" w:w="2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networkModule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NeoErpNetworkRuntime, TokenStore, KtorEngine (platform-specific)</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Singleton</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authModule</w:t>
            </w:r>
          </w:p>
        </w:tc>
        <w:tc>
          <w:tcPr>
            <w:tcW w:type="dxa" w:w="4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AuthRepository, AuthUseCases, BootstrapWithTokensUseCase</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Singleton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sessionModule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NeoUserSession state, AppSessionStateMachine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Singleton</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organizationModule</w:t>
            </w:r>
          </w:p>
        </w:tc>
        <w:tc>
          <w:tcPr>
            <w:tcW w:type="dxa" w:w="4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OrganizationRepository (Mock or Remote), OrganizationUseCases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iamModule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IamRepository, IamUseCases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hrModule</w:t>
            </w:r>
          </w:p>
        </w:tc>
        <w:tc>
          <w:tcPr>
            <w:tcW w:type="dxa" w:w="4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HrRepository, HrUseCases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payrollModule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PayrollRepository, PayrollUseCases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accountsModule</w:t>
            </w:r>
          </w:p>
        </w:tc>
        <w:tc>
          <w:tcPr>
            <w:tcW w:type="dxa" w:w="4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AccountsRepository, AccountsUseCases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essModule</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EssRepository, EssUseCases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reportsModule</w:t>
            </w:r>
          </w:p>
        </w:tc>
        <w:tc>
          <w:tcPr>
            <w:tcW w:type="dxa" w:w="4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ReportRepository, ExportService</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ViewModel</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4.2  Platform DI Entry Points</w:t>
      </w:r>
    </w:p>
    <w:p>
      <w:pPr>
        <w:spacing w:after="80" w:before="60"/>
      </w:pPr>
      <w:r>
        <w:rPr>
          <w:rFonts w:ascii="Arial" w:cs="Arial" w:eastAsia="Arial" w:hAnsi="Arial"/>
          <w:b w:val="false"/>
          <w:bCs w:val="false"/>
          <w:color w:val="1A1A2E"/>
          <w:sz w:val="22"/>
          <w:szCs w:val="22"/>
        </w:rPr>
        <w:t xml:space="preserve">Each platform provides a thin startKoin{} call in its platform-specific entry point. The expect/actual NeoAppDi already exists for this purpose — it needs to be wired to call startKoin with the module list above.</w:t>
      </w:r>
    </w:p>
    <w:p>
      <w:pPr>
        <w:spacing w:after="40" w:before="40"/>
      </w:pPr>
      <w:r>
        <w:t xml:space="preserve"/>
      </w:r>
    </w:p>
    <w:p>
      <w:pPr>
        <w:pStyle w:val="Heading1"/>
        <w:spacing w:after="120" w:before="360"/>
      </w:pPr>
      <w:r>
        <w:rPr>
          <w:rFonts w:ascii="Arial" w:cs="Arial" w:eastAsia="Arial" w:hAnsi="Arial"/>
          <w:b/>
          <w:bCs/>
          <w:color w:val="1B4F8A"/>
          <w:sz w:val="36"/>
          <w:szCs w:val="36"/>
        </w:rPr>
        <w:t xml:space="preserve">5. Network Architecture</w:t>
      </w:r>
    </w:p>
    <w:p>
      <w:pPr>
        <w:pStyle w:val="Heading2"/>
        <w:spacing w:after="100" w:before="300"/>
      </w:pPr>
      <w:r>
        <w:rPr>
          <w:rFonts w:ascii="Arial" w:cs="Arial" w:eastAsia="Arial" w:hAnsi="Arial"/>
          <w:b/>
          <w:bCs/>
          <w:color w:val="2D7DD2"/>
          <w:sz w:val="28"/>
          <w:szCs w:val="28"/>
        </w:rPr>
        <w:t xml:space="preserve">5.1  Closing the Web/WASM Gap</w:t>
      </w:r>
    </w:p>
    <w:p>
      <w:pPr>
        <w:spacing w:after="80" w:before="60"/>
      </w:pPr>
      <w:r>
        <w:rPr>
          <w:rFonts w:ascii="Arial" w:cs="Arial" w:eastAsia="Arial" w:hAnsi="Arial"/>
          <w:b w:val="false"/>
          <w:bCs w:val="false"/>
          <w:color w:val="1A1A2E"/>
          <w:sz w:val="22"/>
          <w:szCs w:val="22"/>
        </w:rPr>
        <w:t xml:space="preserve">The single blocking issue for web and WASM targets is that KMM-Network (the shared networking library) does not publish JS or WASM artifacts. Since NeoERP owns that library (via the includeBuild in settings.gradle.kts), there are two paths: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1200"/>
        <w:gridCol w:w="32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w:t>
            </w:r>
          </w:p>
        </w:tc>
        <w:tc>
          <w:tcPr>
            <w:tcW w:type="dxa" w:w="3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32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Option A — Extend KMM-Network</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jsMain and wasmJsMain source sets to KMM-Network; use Ktor's JS/WASM engine (io.ktor:ktor-client-js)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3–5 days</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Preferred — keeps one network library</w:t>
            </w:r>
          </w:p>
        </w:tc>
      </w:tr>
      <w:tr>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Option B — Direct Ktor in webMain</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 NeoERP's webMain source set, wire Ktor directly without going through KMM-Network; use NeoErpNetworkRuntime interface</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Small — 1–2 days</w:t>
            </w:r>
          </w:p>
        </w:tc>
        <w:tc>
          <w:tcPr>
            <w:tcW w:type="dxa" w:w="32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Good fallback — faster to ship</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Option C — REST via fetch() API</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Kotlin/JS fetch() wrapper; bypass Ktor entirely on web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breaks shared patterns</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Avoid — inconsistent with other platforms</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5.2  Network Runtime Interface</w:t>
      </w:r>
    </w:p>
    <w:p>
      <w:pPr>
        <w:spacing w:after="80" w:before="60"/>
      </w:pPr>
      <w:r>
        <w:rPr>
          <w:rFonts w:ascii="Arial" w:cs="Arial" w:eastAsia="Arial" w:hAnsi="Arial"/>
          <w:b w:val="false"/>
          <w:bCs w:val="false"/>
          <w:color w:val="1A1A2E"/>
          <w:sz w:val="22"/>
          <w:szCs w:val="22"/>
        </w:rPr>
        <w:t xml:space="preserve">All platforms must implement the same NeoErpNetworkRuntime interface. This abstraction already exists and is the correct pattern. The missing piece is a jsMain/wasmJsMain implementation backed by Ktor's JS engine.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FFF8E8" w:val="clear"/>
            <w:tcMar>
              <w:top w:type="dxa" w:w="120"/>
              <w:left w:type="dxa" w:w="200"/>
              <w:bottom w:type="dxa" w:w="120"/>
              <w:right w:type="dxa" w:w="200"/>
            </w:tcMar>
          </w:tcPr>
          <w:p>
            <w:pPr>
              <w:spacing w:after="40" w:before="40"/>
            </w:pPr>
            <w:r>
              <w:rPr>
                <w:rFonts w:ascii="Arial" w:cs="Arial" w:eastAsia="Arial" w:hAnsi="Arial"/>
                <w:color w:val="1A1A2E"/>
                <w:sz w:val="20"/>
                <w:szCs w:val="20"/>
              </w:rPr>
              <w:t xml:space="preserve">Ktor JS engine dependency (add to jsMain):</w:t>
            </w:r>
          </w:p>
          <w:p>
            <w:pPr>
              <w:spacing w:after="40" w:before="40"/>
            </w:pPr>
            <w:r>
              <w:rPr>
                <w:rFonts w:ascii="Arial" w:cs="Arial" w:eastAsia="Arial" w:hAnsi="Arial"/>
                <w:color w:val="1A1A2E"/>
                <w:sz w:val="20"/>
                <w:szCs w:val="20"/>
              </w:rPr>
              <w:t xml:space="preserve">  io.ktor:ktor-client-js:3.1.3</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Ktor WASM engine (add to wasmJsMain):</w:t>
            </w:r>
          </w:p>
          <w:p>
            <w:pPr>
              <w:spacing w:after="40" w:before="40"/>
            </w:pPr>
            <w:r>
              <w:rPr>
                <w:rFonts w:ascii="Arial" w:cs="Arial" w:eastAsia="Arial" w:hAnsi="Arial"/>
                <w:color w:val="1A1A2E"/>
                <w:sz w:val="20"/>
                <w:szCs w:val="20"/>
              </w:rPr>
              <w:t xml:space="preserve">  io.ktor:ktor-client-js:3.1.3   (same artifact — WASM uses the JS engine for now)</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PKCE on web: upgrade from 'plain' to 'S256' using the Web Crypto API:</w:t>
            </w:r>
          </w:p>
          <w:p>
            <w:pPr>
              <w:spacing w:after="40" w:before="40"/>
            </w:pPr>
            <w:r>
              <w:rPr>
                <w:rFonts w:ascii="Arial" w:cs="Arial" w:eastAsia="Arial" w:hAnsi="Arial"/>
                <w:color w:val="1A1A2E"/>
                <w:sz w:val="20"/>
                <w:szCs w:val="20"/>
              </w:rPr>
              <w:t xml:space="preserve">  val digest = js("crypto.subtle.digest('SHA-256', data)")</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5.3  API Gateway Pattern</w:t>
      </w:r>
    </w:p>
    <w:p>
      <w:pPr>
        <w:spacing w:after="80" w:before="60"/>
      </w:pPr>
      <w:r>
        <w:rPr>
          <w:rFonts w:ascii="Arial" w:cs="Arial" w:eastAsia="Arial" w:hAnsi="Arial"/>
          <w:b w:val="false"/>
          <w:bCs w:val="false"/>
          <w:color w:val="1A1A2E"/>
          <w:sz w:val="22"/>
          <w:szCs w:val="22"/>
        </w:rPr>
        <w:t xml:space="preserve">All API calls route through a single gateway at port 8080 — never directly to microservice ports. This is already correctly implemented and must be maintained as the backend scales.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000"/>
        <w:gridCol w:w="37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Path</w:t>
            </w:r>
          </w:p>
        </w:tc>
        <w:tc>
          <w:tcPr>
            <w:tcW w:type="dxa" w:w="3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API Gateway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8080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/api/auth/* · /api/app/*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Organization Service</w:t>
            </w:r>
          </w:p>
        </w:tc>
        <w:tc>
          <w:tcPr>
            <w:tcW w:type="dxa" w:w="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8081</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/api/companies/* · /api/branches/*</w:t>
            </w:r>
          </w:p>
        </w:tc>
        <w:tc>
          <w:tcPr>
            <w:tcW w:type="dxa" w:w="3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IAM Service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8082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/api/iam/*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HR Service</w:t>
            </w:r>
          </w:p>
        </w:tc>
        <w:tc>
          <w:tcPr>
            <w:tcW w:type="dxa" w:w="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8083</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/api/hr/*</w:t>
            </w:r>
          </w:p>
        </w:tc>
        <w:tc>
          <w:tcPr>
            <w:tcW w:type="dxa" w:w="3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Payroll Service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8084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/api/payroll/*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Accounts Service</w:t>
            </w:r>
          </w:p>
        </w:tc>
        <w:tc>
          <w:tcPr>
            <w:tcW w:type="dxa" w:w="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8085</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/api/accounts/*</w:t>
            </w:r>
          </w:p>
        </w:tc>
        <w:tc>
          <w:tcPr>
            <w:tcW w:type="dxa" w:w="3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Notifications Service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8086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/api/notifications/*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Sales Service</w:t>
            </w:r>
          </w:p>
        </w:tc>
        <w:tc>
          <w:tcPr>
            <w:tcW w:type="dxa" w:w="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8087</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/api/sales/*</w:t>
            </w:r>
          </w:p>
        </w:tc>
        <w:tc>
          <w:tcPr>
            <w:tcW w:type="dxa" w:w="3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 — Phase 6</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Purchase Service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8088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/api/purchase/*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 — Phase 7</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Inventory Service</w:t>
            </w:r>
          </w:p>
        </w:tc>
        <w:tc>
          <w:tcPr>
            <w:tcW w:type="dxa" w:w="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8089</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/api/inventory/*</w:t>
            </w:r>
          </w:p>
        </w:tc>
        <w:tc>
          <w:tcPr>
            <w:tcW w:type="dxa" w:w="3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 — Phase 8</w:t>
            </w:r>
          </w:p>
        </w:tc>
      </w:tr>
    </w:tbl>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6. Navigation Architecture</w:t>
      </w:r>
    </w:p>
    <w:p>
      <w:pPr>
        <w:pStyle w:val="Heading2"/>
        <w:spacing w:after="100" w:before="300"/>
      </w:pPr>
      <w:r>
        <w:rPr>
          <w:rFonts w:ascii="Arial" w:cs="Arial" w:eastAsia="Arial" w:hAnsi="Arial"/>
          <w:b/>
          <w:bCs/>
          <w:color w:val="2D7DD2"/>
          <w:sz w:val="28"/>
          <w:szCs w:val="28"/>
        </w:rPr>
        <w:t xml:space="preserve">6.1  Current State</w:t>
      </w:r>
    </w:p>
    <w:p>
      <w:pPr>
        <w:spacing w:after="80" w:before="60"/>
      </w:pPr>
      <w:r>
        <w:rPr>
          <w:rFonts w:ascii="Arial" w:cs="Arial" w:eastAsia="Arial" w:hAnsi="Arial"/>
          <w:b w:val="false"/>
          <w:bCs w:val="false"/>
          <w:color w:val="1A1A2E"/>
          <w:sz w:val="22"/>
          <w:szCs w:val="22"/>
        </w:rPr>
        <w:t xml:space="preserve">Navigation is currently driven by a NeoDestination enum with a when() block in the shell composable. This works correctly for the current feature count but does not support backstack management, deep links, or web URL routing — all required for a production enterprise app.</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6.2  Recommended: Decompose</w:t>
      </w:r>
    </w:p>
    <w:p>
      <w:pPr>
        <w:spacing w:after="80" w:before="60"/>
      </w:pPr>
      <w:r>
        <w:rPr>
          <w:rFonts w:ascii="Arial" w:cs="Arial" w:eastAsia="Arial" w:hAnsi="Arial"/>
          <w:b w:val="false"/>
          <w:bCs w:val="false"/>
          <w:color w:val="1A1A2E"/>
          <w:sz w:val="22"/>
          <w:szCs w:val="22"/>
        </w:rPr>
        <w:t xml:space="preserve">Decompose (by Arkadii Ivanov) is the recommended navigation library for KMP enterprise apps. It is Compose Multiplatform-native, supports all five targets including web/WASM, and provides proper backstack, URL routing, and lifecycle management.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(enum-based)</w:t>
            </w:r>
          </w:p>
        </w:tc>
        <w:tc>
          <w:tcPr>
            <w:tcW w:type="dxa" w:w="4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(Decompose)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Backstack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None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Full per-platform backstack</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Web URL routing</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Not supported</w:t>
            </w:r>
          </w:p>
        </w:tc>
        <w:tc>
          <w:tcPr>
            <w:tcW w:type="dxa" w:w="4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Browser history / deep links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Deep links (Android/iOS)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Not wired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Native deep link integration</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Nested navigation</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Manual tabs only</w:t>
            </w:r>
          </w:p>
        </w:tc>
        <w:tc>
          <w:tcPr>
            <w:tcW w:type="dxa" w:w="4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Slot / pages / overlay patterns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State preservation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Lost on tab switch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Retained on configuration change</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Testing</w:t>
            </w:r>
          </w:p>
        </w:tc>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Hard to unit test</w:t>
            </w:r>
          </w:p>
        </w:tc>
        <w:tc>
          <w:tcPr>
            <w:tcW w:type="dxa" w:w="4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Pure Kotlin — fully testable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Migration effort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 — 3–5 days for shell + features</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6.3  Web-Specific Routing</w:t>
      </w:r>
    </w:p>
    <w:p>
      <w:pPr>
        <w:spacing w:after="80" w:before="60"/>
      </w:pPr>
      <w:r>
        <w:rPr>
          <w:rFonts w:ascii="Arial" w:cs="Arial" w:eastAsia="Arial" w:hAnsi="Arial"/>
          <w:b w:val="false"/>
          <w:bCs w:val="false"/>
          <w:color w:val="1A1A2E"/>
          <w:sz w:val="22"/>
          <w:szCs w:val="22"/>
        </w:rPr>
        <w:t xml:space="preserve">For the JS and WASM browser targets, NeoERP must map Decompose's navigation state to browser URLs. This uses Decompose's WebHistoryController to keep the browser's address bar in sync with the in-app navigation state, enabling bookmarkable URLs and browser back/forward.</w:t>
      </w:r>
    </w:p>
    <w:p>
      <w:pPr>
        <w:spacing w:after="40" w:before="40"/>
      </w:pPr>
      <w:r>
        <w:t xml:space="preserve"/>
      </w:r>
    </w:p>
    <w:p>
      <w:pPr>
        <w:pStyle w:val="Heading1"/>
        <w:spacing w:after="120" w:before="360"/>
      </w:pPr>
      <w:r>
        <w:rPr>
          <w:rFonts w:ascii="Arial" w:cs="Arial" w:eastAsia="Arial" w:hAnsi="Arial"/>
          <w:b/>
          <w:bCs/>
          <w:color w:val="1B4F8A"/>
          <w:sz w:val="36"/>
          <w:szCs w:val="36"/>
        </w:rPr>
        <w:t xml:space="preserve">7. State Management</w:t>
      </w:r>
    </w:p>
    <w:p>
      <w:pPr>
        <w:pStyle w:val="Heading2"/>
        <w:spacing w:after="100" w:before="300"/>
      </w:pPr>
      <w:r>
        <w:rPr>
          <w:rFonts w:ascii="Arial" w:cs="Arial" w:eastAsia="Arial" w:hAnsi="Arial"/>
          <w:b/>
          <w:bCs/>
          <w:color w:val="2D7DD2"/>
          <w:sz w:val="28"/>
          <w:szCs w:val="28"/>
        </w:rPr>
        <w:t xml:space="preserve">7.1  Current State Holder Pattern</w:t>
      </w:r>
    </w:p>
    <w:p>
      <w:pPr>
        <w:spacing w:after="80" w:before="60"/>
      </w:pPr>
      <w:r>
        <w:rPr>
          <w:rFonts w:ascii="Arial" w:cs="Arial" w:eastAsia="Arial" w:hAnsi="Arial"/>
          <w:b w:val="false"/>
          <w:bCs w:val="false"/>
          <w:color w:val="1A1A2E"/>
          <w:sz w:val="22"/>
          <w:szCs w:val="22"/>
        </w:rPr>
        <w:t xml:space="preserve">Each feature uses a FeatureState class (e.g., PayrollFeatureState) that holds Compose mutableStateOf properties and exposes suspend operations via a runOp helper. This is a solid foundation and should be retained.</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7.2  Recommended: Migrate to AbstractStateMachine</w:t>
      </w:r>
    </w:p>
    <w:p>
      <w:pPr>
        <w:spacing w:after="80" w:before="60"/>
      </w:pPr>
      <w:r>
        <w:rPr>
          <w:rFonts w:ascii="Arial" w:cs="Arial" w:eastAsia="Arial" w:hAnsi="Arial"/>
          <w:b w:val="false"/>
          <w:bCs w:val="false"/>
          <w:color w:val="1A1A2E"/>
          <w:sz w:val="22"/>
          <w:szCs w:val="22"/>
        </w:rPr>
        <w:t xml:space="preserve">The codebase already contains a well-designed AbstractStateMachine in core/presentation/statemachine/. This MVI-style state machine is the right long-term pattern for enterprise features because it makes state transitions explicit, testable, and auditable. The AppSession already uses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Concern</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FeatureState</w:t>
            </w:r>
          </w:p>
        </w:tc>
        <w:tc>
          <w:tcPr>
            <w:tcW w:type="dxa" w:w="4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AbstractStateMachine (recommended)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State mutations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mutableStateOf assignments anywhere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via explicit Event sealed classes</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Side effects</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Launched from UI via callbacks</w:t>
            </w:r>
          </w:p>
        </w:tc>
        <w:tc>
          <w:tcPr>
            <w:tcW w:type="dxa" w:w="4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Emitted as UiEffect — one-shot, testable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Testability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Hard — Compose state required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Easy — pure Kotlin, no Compose needed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Audit trail</w:t>
            </w:r>
          </w:p>
        </w:tc>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4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transition is loggable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Error handling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Per-state errorMessage: String?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Structured NeoResult&lt;T&gt; in state sealed class</w:t>
            </w:r>
          </w:p>
        </w:tc>
      </w:tr>
    </w:tbl>
    <w:p>
      <w:pPr>
        <w:spacing w:after="40" w:before="40"/>
      </w:pPr>
      <w:r>
        <w:t xml:space="preserve"/>
      </w:r>
    </w:p>
    <w:p>
      <w:pPr>
        <w:pBdr>
          <w:left w:val="single" w:color="2D7DD2" w:sz="6" w:space="8"/>
        </w:pBdr>
        <w:spacing w:after="80" w:before="80"/>
        <w:ind w:left="300"/>
      </w:pPr>
      <w:r>
        <w:rPr>
          <w:rFonts w:ascii="Arial" w:cs="Arial" w:eastAsia="Arial" w:hAnsi="Arial"/>
          <w:i/>
          <w:iCs/>
          <w:color w:val="5A5A7A"/>
          <w:sz w:val="22"/>
          <w:szCs w:val="22"/>
        </w:rPr>
        <w:t xml:space="preserve">Suggested migration: keep FeatureState for simple read-only screens; use AbstractStateMachine for any screen with multi-step workflows (Payroll runs, Journal posting, Leave approval).</w:t>
      </w:r>
    </w:p>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8. Offline &amp; Local Storage</w:t>
      </w:r>
    </w:p>
    <w:p>
      <w:pPr>
        <w:spacing w:after="80" w:before="60"/>
      </w:pPr>
      <w:r>
        <w:rPr>
          <w:rFonts w:ascii="Arial" w:cs="Arial" w:eastAsia="Arial" w:hAnsi="Arial"/>
          <w:b w:val="false"/>
          <w:bCs w:val="false"/>
          <w:color w:val="1A1A2E"/>
          <w:sz w:val="22"/>
          <w:szCs w:val="22"/>
        </w:rPr>
        <w:t xml:space="preserve">Enterprise ERP users frequently work in environments with unreliable connectivity (field staff, warehouse workers, remote offices). A production-grade NeoERP must implement offline-first patterns for critical read paths.</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8.1  Recommended: SQLDelight</w:t>
      </w:r>
    </w:p>
    <w:p>
      <w:pPr>
        <w:spacing w:after="80" w:before="60"/>
      </w:pPr>
      <w:r>
        <w:rPr>
          <w:rFonts w:ascii="Arial" w:cs="Arial" w:eastAsia="Arial" w:hAnsi="Arial"/>
          <w:b w:val="false"/>
          <w:bCs w:val="false"/>
          <w:color w:val="1A1A2E"/>
          <w:sz w:val="22"/>
          <w:szCs w:val="22"/>
        </w:rPr>
        <w:t xml:space="preserve">SQLDelight is the standard KMP database library. It generates type-safe Kotlin APIs from SQL, works on all five targets (Android uses SQLite, iOS uses SQLite, Desktop uses SQLite, Web uses SQLite WASM), and integrates cleanly with Kotlin coroutines Flow for reactive 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to Cache Locally</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c>
          <w:tcPr>
            <w:tcW w:type="dxa" w:w="4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Sync Strategy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NeoUserSession + permissions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for offline auth + permission checks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 every bootstrap</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Dashboard snapshot</w:t>
            </w:r>
          </w:p>
        </w:tc>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Instant load on app open</w:t>
            </w:r>
          </w:p>
        </w:tc>
        <w:tc>
          <w:tcPr>
            <w:tcW w:type="dxa" w:w="4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On every bootstrap + background refresh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Employee list (HR)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 commonly accessed read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Pull-to-refresh + background sync</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Payslips (ESS)</w:t>
            </w:r>
          </w:p>
        </w:tc>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Employees access offline frequently</w:t>
            </w:r>
          </w:p>
        </w:tc>
        <w:tc>
          <w:tcPr>
            <w:tcW w:type="dxa" w:w="4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On publish event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Notifications / Inbox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 status must persist offline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Delta sync on reconnect</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Leave balances (ESS)</w:t>
            </w:r>
          </w:p>
        </w:tc>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Referenced when submitting requests</w:t>
            </w:r>
          </w:p>
        </w:tc>
        <w:tc>
          <w:tcPr>
            <w:tcW w:type="dxa" w:w="43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sync</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8.2  Repository Caching Pattern</w:t>
      </w:r>
    </w:p>
    <w:p>
      <w:pPr>
        <w:spacing w:after="80" w:before="60"/>
      </w:pPr>
      <w:r>
        <w:rPr>
          <w:rFonts w:ascii="Arial" w:cs="Arial" w:eastAsia="Arial" w:hAnsi="Arial"/>
          <w:b w:val="false"/>
          <w:bCs w:val="false"/>
          <w:color w:val="1A1A2E"/>
          <w:sz w:val="22"/>
          <w:szCs w:val="22"/>
        </w:rPr>
        <w:t xml:space="preserve">Each repository implementation follows a cache-first pattern: the RemoteRepository reads from the local SQLDelight database first (emitting cached data immediately), then fetches from the network and updates the cache. The UI observes a Flow&lt;T&gt; from the repository — it automatically re-renders when the cache is updated.</w:t>
      </w:r>
    </w:p>
    <w:p>
      <w:pPr>
        <w:spacing w:after="40" w:before="40"/>
      </w:pPr>
      <w:r>
        <w:t xml:space="preserve"/>
      </w:r>
    </w:p>
    <w:p>
      <w:pPr>
        <w:pStyle w:val="Heading1"/>
        <w:spacing w:after="120" w:before="360"/>
      </w:pPr>
      <w:r>
        <w:rPr>
          <w:rFonts w:ascii="Arial" w:cs="Arial" w:eastAsia="Arial" w:hAnsi="Arial"/>
          <w:b/>
          <w:bCs/>
          <w:color w:val="1B4F8A"/>
          <w:sz w:val="36"/>
          <w:szCs w:val="36"/>
        </w:rPr>
        <w:t xml:space="preserve">9. Platform-Adaptive Layouts</w:t>
      </w:r>
    </w:p>
    <w:p>
      <w:pPr>
        <w:spacing w:after="80" w:before="60"/>
      </w:pPr>
      <w:r>
        <w:rPr>
          <w:rFonts w:ascii="Arial" w:cs="Arial" w:eastAsia="Arial" w:hAnsi="Arial"/>
          <w:b w:val="false"/>
          <w:bCs w:val="false"/>
          <w:color w:val="1A1A2E"/>
          <w:sz w:val="22"/>
          <w:szCs w:val="22"/>
        </w:rPr>
        <w:t xml:space="preserve">NeoERP's UI must adapt to four distinct form factors: phone portrait, tablet landscape, desktop window, and browser window. The current BoxWithConstraints approach provides basic responsiveness but should be extended using the WindowSizeClass API from Compose.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1700"/>
        <w:gridCol w:w="18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 Factor</w:t>
            </w:r>
          </w:p>
        </w:tc>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Width</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Layout Pattern</w:t>
            </w:r>
          </w:p>
        </w:tc>
        <w:tc>
          <w:tcPr>
            <w:tcW w:type="dxa" w:w="17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Sidebar</w:t>
            </w:r>
          </w:p>
        </w:tc>
        <w:tc>
          <w:tcPr>
            <w:tcW w:type="dxa" w:w="1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Navigation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Phone portrait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600dp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Single-pane, bottom nav or hamburger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Hidden drawer</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Bottom navigation bar</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Phone landscape / small tablet</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600–840dp</w:t>
            </w:r>
          </w:p>
        </w:tc>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Single-pane, persistent nav rail</w:t>
            </w:r>
          </w:p>
        </w:tc>
        <w:tc>
          <w:tcPr>
            <w:tcW w:type="dxa" w:w="1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Nav rail (icons)</w:t>
            </w:r>
          </w:p>
        </w:tc>
        <w:tc>
          <w:tcPr>
            <w:tcW w:type="dxa" w:w="1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Nav rail (48dp)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Large tablet / desktop narrow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840–1200dp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Two-pane (sidebar + content)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Collapsed sidebar (icons+labels)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Sidebar 200dp</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Desktop / browser wide</w:t>
            </w:r>
          </w:p>
        </w:tc>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&gt; 1200dp</w:t>
            </w:r>
          </w:p>
        </w:tc>
        <w:tc>
          <w:tcPr>
            <w:tcW w:type="dxa" w:w="2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Two-pane (full sidebar + content)</w:t>
            </w:r>
          </w:p>
        </w:tc>
        <w:tc>
          <w:tcPr>
            <w:tcW w:type="dxa" w:w="1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sidebar (240dp)</w:t>
            </w:r>
          </w:p>
        </w:tc>
        <w:tc>
          <w:tcPr>
            <w:tcW w:type="dxa" w:w="1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Sidebar with group headers</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9.1  Desktop-Specific Features</w:t>
      </w:r>
    </w:p>
    <w:p>
      <w:pPr>
        <w:spacing w:after="80" w:before="60"/>
      </w:pPr>
      <w:r>
        <w:rPr>
          <w:rFonts w:ascii="Arial" w:cs="Arial" w:eastAsia="Arial" w:hAnsi="Arial"/>
          <w:b w:val="false"/>
          <w:bCs w:val="false"/>
          <w:color w:val="1A1A2E"/>
          <w:sz w:val="22"/>
          <w:szCs w:val="22"/>
        </w:rPr>
        <w:t xml:space="preserve">The JVM Desktop target should take advantage of desktop-native capabilities that are not available on mobile:</w:t>
      </w:r>
    </w:p>
    <w:p>
      <w:pPr>
        <w:spacing w:after="4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System menu bar — use Compose Desktop's MenuBar API to expose File, Edit, View, Help menus</w:t>
      </w:r>
    </w:p>
    <w:p>
      <w:pPr>
        <w:pStyle w:val="ListParagraph"/>
        <w:numPr>
          <w:ilvl w:val="0"/>
          <w:numId w:val="2"/>
        </w:numPr>
        <w:spacing w:after="40" w:before="40"/>
      </w:pPr>
      <w:r>
        <w:rPr>
          <w:rFonts w:ascii="Arial" w:cs="Arial" w:eastAsia="Arial" w:hAnsi="Arial"/>
          <w:color w:val="1A1A2E"/>
          <w:sz w:val="22"/>
          <w:szCs w:val="22"/>
        </w:rPr>
        <w:t xml:space="preserve">Keyboard shortcuts — global Ctrl+K command palette, Ctrl+1–9 for module switching, Ctrl+N for new record</w:t>
      </w:r>
    </w:p>
    <w:p>
      <w:pPr>
        <w:pStyle w:val="ListParagraph"/>
        <w:numPr>
          <w:ilvl w:val="0"/>
          <w:numId w:val="2"/>
        </w:numPr>
        <w:spacing w:after="40" w:before="40"/>
      </w:pPr>
      <w:r>
        <w:rPr>
          <w:rFonts w:ascii="Arial" w:cs="Arial" w:eastAsia="Arial" w:hAnsi="Arial"/>
          <w:color w:val="1A1A2E"/>
          <w:sz w:val="22"/>
          <w:szCs w:val="22"/>
        </w:rPr>
        <w:t xml:space="preserve">Window management — resizable, multi-window support for side-by-side module comparison</w:t>
      </w:r>
    </w:p>
    <w:p>
      <w:pPr>
        <w:pStyle w:val="ListParagraph"/>
        <w:numPr>
          <w:ilvl w:val="0"/>
          <w:numId w:val="2"/>
        </w:numPr>
        <w:spacing w:after="40" w:before="40"/>
      </w:pPr>
      <w:r>
        <w:rPr>
          <w:rFonts w:ascii="Arial" w:cs="Arial" w:eastAsia="Arial" w:hAnsi="Arial"/>
          <w:color w:val="1A1A2E"/>
          <w:sz w:val="22"/>
          <w:szCs w:val="22"/>
        </w:rPr>
        <w:t xml:space="preserve">System notifications — use the Java AWT SystemTray for background payroll run completion alerts</w:t>
      </w:r>
    </w:p>
    <w:p>
      <w:pPr>
        <w:pStyle w:val="ListParagraph"/>
        <w:numPr>
          <w:ilvl w:val="0"/>
          <w:numId w:val="2"/>
        </w:numPr>
        <w:spacing w:after="40" w:before="40"/>
      </w:pPr>
      <w:r>
        <w:rPr>
          <w:rFonts w:ascii="Arial" w:cs="Arial" w:eastAsia="Arial" w:hAnsi="Arial"/>
          <w:color w:val="1A1A2E"/>
          <w:sz w:val="22"/>
          <w:szCs w:val="22"/>
        </w:rPr>
        <w:t xml:space="preserve">Drag &amp; drop — file import for bulk employee onboarding (CSV) and document uploads</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9.2  Web-Specific Features</w:t>
      </w:r>
    </w:p>
    <w:p>
      <w:pPr>
        <w:spacing w:after="80" w:before="60"/>
      </w:pPr>
      <w:r>
        <w:rPr>
          <w:rFonts w:ascii="Arial" w:cs="Arial" w:eastAsia="Arial" w:hAnsi="Arial"/>
          <w:b w:val="false"/>
          <w:bCs w:val="false"/>
          <w:color w:val="1A1A2E"/>
          <w:sz w:val="22"/>
          <w:szCs w:val="22"/>
        </w:rPr>
        <w:t xml:space="preserve">The JS/WASM browser target has unique requirements:</w:t>
      </w:r>
    </w:p>
    <w:p>
      <w:pPr>
        <w:spacing w:after="4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URL routing — every navigation state must map to a bookmarkable URL (handled via Decompose + WebHistoryController)</w:t>
      </w:r>
    </w:p>
    <w:p>
      <w:pPr>
        <w:pStyle w:val="ListParagraph"/>
        <w:numPr>
          <w:ilvl w:val="0"/>
          <w:numId w:val="2"/>
        </w:numPr>
        <w:spacing w:after="40" w:before="40"/>
      </w:pPr>
      <w:r>
        <w:rPr>
          <w:rFonts w:ascii="Arial" w:cs="Arial" w:eastAsia="Arial" w:hAnsi="Arial"/>
          <w:color w:val="1A1A2E"/>
          <w:sz w:val="22"/>
          <w:szCs w:val="22"/>
        </w:rPr>
        <w:t xml:space="preserve">PWA manifest — add a web app manifest so NeoERP can be installed as a Progressive Web App from the browser</w:t>
      </w:r>
    </w:p>
    <w:p>
      <w:pPr>
        <w:pStyle w:val="ListParagraph"/>
        <w:numPr>
          <w:ilvl w:val="0"/>
          <w:numId w:val="2"/>
        </w:numPr>
        <w:spacing w:after="40" w:before="40"/>
      </w:pPr>
      <w:r>
        <w:rPr>
          <w:rFonts w:ascii="Arial" w:cs="Arial" w:eastAsia="Arial" w:hAnsi="Arial"/>
          <w:color w:val="1A1A2E"/>
          <w:sz w:val="22"/>
          <w:szCs w:val="22"/>
        </w:rPr>
        <w:t xml:space="preserve">Browser tab title — update document.title to reflect the current module (e.g., 'Payroll — NeoERP')</w:t>
      </w:r>
    </w:p>
    <w:p>
      <w:pPr>
        <w:pStyle w:val="ListParagraph"/>
        <w:numPr>
          <w:ilvl w:val="0"/>
          <w:numId w:val="2"/>
        </w:numPr>
        <w:spacing w:after="40" w:before="40"/>
      </w:pPr>
      <w:r>
        <w:rPr>
          <w:rFonts w:ascii="Arial" w:cs="Arial" w:eastAsia="Arial" w:hAnsi="Arial"/>
          <w:color w:val="1A1A2E"/>
          <w:sz w:val="22"/>
          <w:szCs w:val="22"/>
        </w:rPr>
        <w:t xml:space="preserve">Clipboard API — use browser clipboard for copy-to-clipboard actions (employee IDs, payslip amounts)</w:t>
      </w:r>
    </w:p>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10. Enterprise-Grade Hardening</w:t>
      </w:r>
    </w:p>
    <w:p>
      <w:pPr>
        <w:spacing w:after="80" w:before="60"/>
      </w:pPr>
      <w:r>
        <w:rPr>
          <w:rFonts w:ascii="Arial" w:cs="Arial" w:eastAsia="Arial" w:hAnsi="Arial"/>
          <w:b w:val="false"/>
          <w:bCs w:val="false"/>
          <w:color w:val="1A1A2E"/>
          <w:sz w:val="22"/>
          <w:szCs w:val="22"/>
        </w:rPr>
        <w:t xml:space="preserve">Beyond functional modules, production enterprise software requires a set of cross-cutting capabilities that apply to every feature.</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10.1  Audit Logging</w:t>
      </w:r>
    </w:p>
    <w:p>
      <w:pPr>
        <w:spacing w:after="80" w:before="60"/>
      </w:pPr>
      <w:r>
        <w:rPr>
          <w:rFonts w:ascii="Arial" w:cs="Arial" w:eastAsia="Arial" w:hAnsi="Arial"/>
          <w:b w:val="false"/>
          <w:bCs w:val="false"/>
          <w:color w:val="1A1A2E"/>
          <w:sz w:val="22"/>
          <w:szCs w:val="22"/>
        </w:rPr>
        <w:t xml:space="preserve">Every Create, Update, Delete, and status-change action must be recorded in an immutable audit log. The audit log should capture: actor (userId + name), action, entity type, entity ID, before/after values (for updates), timestamp, and IP/device context.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Audit Event</w:t>
            </w:r>
          </w:p>
        </w:tc>
        <w:tc>
          <w:tcPr>
            <w:tcW w:type="dxa" w:w="3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Captured Fields</w:t>
            </w:r>
          </w:p>
        </w:tc>
        <w:tc>
          <w:tcPr>
            <w:tcW w:type="dxa" w:w="3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Retention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Employee created/updated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fields changed, actor, timestamp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 years (HR compliance)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Payroll run approved/posted</w:t>
            </w:r>
          </w:p>
        </w:tc>
        <w:tc>
          <w:tcPr>
            <w:tcW w:type="dxa" w:w="3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ID, gross total, actor</w:t>
            </w:r>
          </w:p>
        </w:tc>
        <w:tc>
          <w:tcPr>
            <w:tcW w:type="dxa" w:w="3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 years (tax compliance)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Journal entry posted/reversed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entry ID, amounts, actor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years (financial compliance)</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User role changed</w:t>
            </w:r>
          </w:p>
        </w:tc>
        <w:tc>
          <w:tcPr>
            <w:tcW w:type="dxa" w:w="38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old role, new role, actor</w:t>
            </w:r>
          </w:p>
        </w:tc>
        <w:tc>
          <w:tcPr>
            <w:tcW w:type="dxa" w:w="31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7 years (security compliance)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Login / auth events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userId, device, IP, success/fail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years</w:t>
            </w:r>
          </w:p>
        </w:tc>
      </w:tr>
    </w:tbl>
    <w:p>
      <w:pPr>
        <w:spacing w:after="40" w:before="40"/>
      </w:pPr>
      <w:r>
        <w:t xml:space="preserve"/>
      </w:r>
    </w:p>
    <w:p>
      <w:pPr>
        <w:pStyle w:val="Heading2"/>
        <w:spacing w:after="100" w:before="300"/>
      </w:pPr>
      <w:r>
        <w:rPr>
          <w:rFonts w:ascii="Arial" w:cs="Arial" w:eastAsia="Arial" w:hAnsi="Arial"/>
          <w:b/>
          <w:bCs/>
          <w:color w:val="2D7DD2"/>
          <w:sz w:val="28"/>
          <w:szCs w:val="28"/>
        </w:rPr>
        <w:t xml:space="preserve">10.2  Multi-Currency Support</w:t>
      </w:r>
    </w:p>
    <w:p>
      <w:pPr>
        <w:spacing w:after="80" w:before="60"/>
      </w:pPr>
      <w:r>
        <w:rPr>
          <w:rFonts w:ascii="Arial" w:cs="Arial" w:eastAsia="Arial" w:hAnsi="Arial"/>
          <w:b w:val="false"/>
          <w:bCs w:val="false"/>
          <w:color w:val="1A1A2E"/>
          <w:sz w:val="22"/>
          <w:szCs w:val="22"/>
        </w:rPr>
        <w:t xml:space="preserve">Enterprise multi-company ERPs must handle multiple currencies. Recommended additions: a Currency domain model (ISO 4217 code, symbol, decimal places), exchange rate tables, and a MoneyAmount value class that carries amount + currency to prevent silent currency confusion. The Accounts module requires the most changes — all monetary amounts must become MoneyAmount.</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10.3  Workflow Engine</w:t>
      </w:r>
    </w:p>
    <w:p>
      <w:pPr>
        <w:spacing w:after="80" w:before="60"/>
      </w:pPr>
      <w:r>
        <w:rPr>
          <w:rFonts w:ascii="Arial" w:cs="Arial" w:eastAsia="Arial" w:hAnsi="Arial"/>
          <w:b w:val="false"/>
          <w:bCs w:val="false"/>
          <w:color w:val="1A1A2E"/>
          <w:sz w:val="22"/>
          <w:szCs w:val="22"/>
        </w:rPr>
        <w:t xml:space="preserve">The current Inbox module handles basic approve/reject workflows. For production scale, a general workflow engine is needed that can define multi-step approval chains (e.g., Leave → Line Manager → HR Admin → Finance). The workflow engine should be configurable per company and per leave/expense type.</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10.4  Real-Time Notifications</w:t>
      </w:r>
    </w:p>
    <w:p>
      <w:pPr>
        <w:spacing w:after="80" w:before="60"/>
      </w:pPr>
      <w:r>
        <w:rPr>
          <w:rFonts w:ascii="Arial" w:cs="Arial" w:eastAsia="Arial" w:hAnsi="Arial"/>
          <w:b w:val="false"/>
          <w:bCs w:val="false"/>
          <w:color w:val="1A1A2E"/>
          <w:sz w:val="22"/>
          <w:szCs w:val="22"/>
        </w:rPr>
        <w:t xml:space="preserve">The current notification system polls the API. For a production enterprise app, replace this with a WebSocket connection (or Server-Sent Events for the web target) to the Notifications microservice. Ktor's WebSocket client supports all KMP targets including JS/WASM.</w:t>
      </w:r>
    </w:p>
    <w:p>
      <w:pPr>
        <w:spacing w:after="40" w:before="40"/>
      </w:pPr>
      <w:r>
        <w:t xml:space="preserve"/>
      </w:r>
    </w:p>
    <w:p>
      <w:pPr>
        <w:pStyle w:val="Heading2"/>
        <w:spacing w:after="100" w:before="300"/>
      </w:pPr>
      <w:r>
        <w:rPr>
          <w:rFonts w:ascii="Arial" w:cs="Arial" w:eastAsia="Arial" w:hAnsi="Arial"/>
          <w:b/>
          <w:bCs/>
          <w:color w:val="2D7DD2"/>
          <w:sz w:val="28"/>
          <w:szCs w:val="28"/>
        </w:rPr>
        <w:t xml:space="preserve">10.5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Concern</w:t>
            </w:r>
          </w:p>
        </w:tc>
        <w:tc>
          <w:tcPr>
            <w:tcW w:type="dxa" w:w="2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State</w:t>
            </w:r>
          </w:p>
        </w:tc>
        <w:tc>
          <w:tcPr>
            <w:tcW w:type="dxa" w:w="46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PKCE on web</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plain (S256 pending)</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Upgrade to S256 using Web Crypto API</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Token storage on web</w:t>
            </w:r>
          </w:p>
        </w:tc>
        <w:tc>
          <w:tcPr>
            <w:tcW w:type="dxa" w:w="2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implemented</w:t>
            </w:r>
          </w:p>
        </w:tc>
        <w:tc>
          <w:tcPr>
            <w:tcW w:type="dxa" w:w="46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sessionStorage (not localStorage) for access tokens; HttpOnly cookie for refresh token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Error messages to UI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backend messages sometimes shown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Sanitize error messages — never expose stack traces or SQL errors to UI</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Input validation</w:t>
            </w:r>
          </w:p>
        </w:tc>
        <w:tc>
          <w:tcPr>
            <w:tcW w:type="dxa" w:w="2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NeoValidation exists</w:t>
            </w:r>
          </w:p>
        </w:tc>
        <w:tc>
          <w:tcPr>
            <w:tcW w:type="dxa" w:w="46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Apply validation before all API calls, not only in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Permission re-check</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 bootstrap only</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Re-validate permissions on every sensitive mutation</w:t>
            </w:r>
          </w:p>
        </w:tc>
      </w:tr>
    </w:tbl>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11. Testing Strategy</w:t>
      </w:r>
    </w:p>
    <w:p>
      <w:pPr>
        <w:spacing w:after="80" w:before="60"/>
      </w:pPr>
      <w:r>
        <w:rPr>
          <w:rFonts w:ascii="Arial" w:cs="Arial" w:eastAsia="Arial" w:hAnsi="Arial"/>
          <w:b w:val="false"/>
          <w:bCs w:val="false"/>
          <w:color w:val="1A1A2E"/>
          <w:sz w:val="22"/>
          <w:szCs w:val="22"/>
        </w:rPr>
        <w:t xml:space="preserve">The AbstractStateMachine and use-case pattern make NeoERP highly testable. The commonTest source set already exists. The recommended testing pyramid 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500"/>
        <w:gridCol w:w="2960"/>
      </w:tblGrid>
      <w:tr>
        <w:trPr>
          <w:tblHeader/>
        </w:trPr>
        <w:tc>
          <w:tcPr>
            <w:tcW w:type="dxa" w:w="17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Type</w:t>
            </w:r>
          </w:p>
        </w:tc>
        <w:tc>
          <w:tcPr>
            <w:tcW w:type="dxa" w:w="3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Test</w:t>
            </w:r>
          </w:p>
        </w:tc>
        <w:tc>
          <w:tcPr>
            <w:tcW w:type="dxa" w:w="1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29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Unit tests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use cases (invoke() with mock repos), NeoValidation, NeoPermissionResolver, all mappers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kotlin.test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commonTest</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State machine tests</w:t>
            </w:r>
          </w:p>
        </w:tc>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AppSessionStateMachine transitions, all FeatureStateMachine transitions</w:t>
            </w:r>
          </w:p>
        </w:tc>
        <w:tc>
          <w:tcPr>
            <w:tcW w:type="dxa" w:w="1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kotlin.test + Turbine</w:t>
            </w:r>
          </w:p>
        </w:tc>
        <w:tc>
          <w:tcPr>
            <w:tcW w:type="dxa" w:w="2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commonTest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Mock repository tests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MockPayrollRepository, MockAccountsRepository — verify they return expected data shapes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kotlin.test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commonTest</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Integration tests</w:t>
            </w:r>
          </w:p>
        </w:tc>
        <w:tc>
          <w:tcPr>
            <w:tcW w:type="dxa" w:w="3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bootstrap flow with a real (test-env) backend</w:t>
            </w:r>
          </w:p>
        </w:tc>
        <w:tc>
          <w:tcPr>
            <w:tcW w:type="dxa" w:w="1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Ktor test engine</w:t>
            </w:r>
          </w:p>
        </w:tc>
        <w:tc>
          <w:tcPr>
            <w:tcW w:type="dxa" w:w="29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androidTest / jvmTest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UI snapshot tests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 screens in mock mode (Dashboard by role, Payroll run, Journal entry)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Paparazzi (Android)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androidTest</w:t>
            </w:r>
          </w:p>
        </w:tc>
      </w:tr>
    </w:tbl>
    <w:p>
      <w:pPr>
        <w:spacing w:after="40" w:before="40"/>
      </w:pPr>
      <w:r>
        <w:t xml:space="preserve"/>
      </w:r>
    </w:p>
    <w:p>
      <w:pPr>
        <w:pStyle w:val="Heading1"/>
        <w:spacing w:after="120" w:before="360"/>
      </w:pPr>
      <w:r>
        <w:rPr>
          <w:rFonts w:ascii="Arial" w:cs="Arial" w:eastAsia="Arial" w:hAnsi="Arial"/>
          <w:b/>
          <w:bCs/>
          <w:color w:val="1B4F8A"/>
          <w:sz w:val="36"/>
          <w:szCs w:val="36"/>
        </w:rPr>
        <w:t xml:space="preserve">12. Priority Action Items</w:t>
      </w:r>
    </w:p>
    <w:p>
      <w:pPr>
        <w:spacing w:after="80" w:before="60"/>
      </w:pPr>
      <w:r>
        <w:rPr>
          <w:rFonts w:ascii="Arial" w:cs="Arial" w:eastAsia="Arial" w:hAnsi="Arial"/>
          <w:b w:val="false"/>
          <w:bCs w:val="false"/>
          <w:color w:val="1A1A2E"/>
          <w:sz w:val="22"/>
          <w:szCs w:val="22"/>
        </w:rPr>
        <w:t xml:space="preserve">The following improvements are ranked by impact and effort. All P0 and P1 items should be completed before any new feature modules are added.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1000"/>
        <w:gridCol w:w="2860"/>
      </w:tblGrid>
      <w:tr>
        <w:trPr>
          <w:tblHeader/>
        </w:trPr>
        <w:tc>
          <w:tcPr>
            <w:tcW w:type="dxa" w:w="7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3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3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2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P0</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Ktor JS/WASM engine to KMM-Network (or webMain directly)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days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Unblocks web target entirely</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P0</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Migrate NeoEnterpriseContainer → Koin modules (networkModule, authModule, sessionModule)</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2 days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Foundation for all future DI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P0</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Upgrade PKCE on web from plain to S256 (Web Crypto API)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AuthSecurity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day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Security requirement</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P1</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Introduce Decompose for navigation (shell first, then feature backtracks)</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4–5 days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Enables deep links + web URLs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P1</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SQLDelight for session + dashboard caching (offline-first foundation)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days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Enables offline usage</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P1</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Migrate NeoEnterpriseShell.kt (1,738 lines) → NeoSmartSidebar, NeoSmartTopBar, NeoDashboardScreen</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Reviewer</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1.5 days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Maintainability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P2</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Migrate all feature FeatureState classes to AbstractStateMachine pattern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domain owners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day each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Testability + consistency</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P2</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unit tests for all use cases in commonTest</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domain owners</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4 hours each</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Quality gate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P2</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Implement WindowSizeClass-based adaptive layouts (phone / tablet / desktop / web)</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days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Better UX on all targets</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P3</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system menu bar + keyboard shortcuts (Compose Desktop)</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PlatformCore</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2 days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Desktop UX polish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P3</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WebSocket-based real-time notifications (replaces polling)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AuthSecurity + Backend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days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 updates</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P3</w:t>
            </w:r>
          </w:p>
        </w:tc>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Multi-currency: MoneyAmount value class + exchange rate tables in Accounts</w:t>
            </w:r>
          </w:p>
        </w:tc>
        <w:tc>
          <w:tcPr>
            <w:tcW w:type="dxa" w:w="13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AccountsFinance</w:t>
            </w:r>
          </w:p>
        </w:tc>
        <w:tc>
          <w:tcPr>
            <w:tcW w:type="dxa" w:w="1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5 days</w:t>
            </w:r>
          </w:p>
        </w:tc>
        <w:tc>
          <w:tcPr>
            <w:tcW w:type="dxa" w:w="28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Enterprise readiness</w:t>
            </w:r>
          </w:p>
        </w:tc>
      </w:tr>
    </w:tbl>
    <w:p>
      <w:pPr>
        <w:spacing w:after="40" w:before="40"/>
      </w:pPr>
      <w:r>
        <w:t xml:space="preserve"/>
      </w:r>
    </w:p>
    <w:p>
      <w:r>
        <w:br w:type="page"/>
      </w:r>
    </w:p>
    <w:p>
      <w:pPr>
        <w:pStyle w:val="Heading1"/>
        <w:spacing w:after="120" w:before="360"/>
      </w:pPr>
      <w:r>
        <w:rPr>
          <w:rFonts w:ascii="Arial" w:cs="Arial" w:eastAsia="Arial" w:hAnsi="Arial"/>
          <w:b/>
          <w:bCs/>
          <w:color w:val="1B4F8A"/>
          <w:sz w:val="36"/>
          <w:szCs w:val="36"/>
        </w:rPr>
        <w:t xml:space="preserve">13. Full Enterprise ERP Module Inventory</w:t>
      </w:r>
    </w:p>
    <w:p>
      <w:pPr>
        <w:spacing w:after="80" w:before="60"/>
      </w:pPr>
      <w:r>
        <w:rPr>
          <w:rFonts w:ascii="Arial" w:cs="Arial" w:eastAsia="Arial" w:hAnsi="Arial"/>
          <w:b w:val="false"/>
          <w:bCs w:val="false"/>
          <w:color w:val="1A1A2E"/>
          <w:sz w:val="22"/>
          <w:szCs w:val="22"/>
        </w:rPr>
        <w:t xml:space="preserve">The following is the complete recommended module set for a full enterprise ERP. Current modules are marked as live or in-progress; future modules follow the master roadmap phases.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400"/>
        <w:gridCol w:w="276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1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Platform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 &amp; Session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features.auth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Platform</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ui.shell</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 (mock data)</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Platform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Inbox / Notifications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features.inbox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Platform</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features.profile</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Platform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Settings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ui.features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 (local)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Admin</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Organization (Tenant Setup)</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features.organization</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Admin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IAM (Users &amp; Roles)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features.iam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3</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HR &amp; People</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features.hr</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HR &amp; People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ESS (Employee Self-Service)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5</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Finance</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Payroll</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features.payroll</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Finance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Accounts / GL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features.accounts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Live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9</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Reporting</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Reports</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features.reports</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Mock only</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10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Commercial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Sales (CRM + Orders)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features.sales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6</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Commercial</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Purchase / Procurement</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features.purchase</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7</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Operations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Inventory / Warehouse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features.inventory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Planned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8</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Operations</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Fixed Assets</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features.assets</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Future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v1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Operations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features.projects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Future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v1</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bCs/>
                <w:color w:val="1B4F8A"/>
                <w:sz w:val="20"/>
                <w:szCs w:val="20"/>
              </w:rPr>
              <w:t xml:space="preserve">Compliance</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Tax Management</w:t>
            </w:r>
          </w:p>
        </w:tc>
        <w:tc>
          <w:tcPr>
            <w:tcW w:type="dxa" w:w="2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features.tax</w:t>
            </w:r>
          </w:p>
        </w:tc>
        <w:tc>
          <w:tcPr>
            <w:tcW w:type="dxa" w:w="14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 Future</w:t>
            </w:r>
          </w:p>
        </w:tc>
        <w:tc>
          <w:tcPr>
            <w:tcW w:type="dxa" w:w="276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v1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Compliance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Audit Log Viewer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features.audit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Future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v1</w:t>
            </w:r>
          </w:p>
        </w:tc>
      </w:tr>
    </w:tbl>
    <w:p>
      <w:pPr>
        <w:spacing w:after="40" w:before="40"/>
      </w:pPr>
      <w:r>
        <w:t xml:space="preserve"/>
      </w:r>
    </w:p>
    <w:p>
      <w:pPr>
        <w:pStyle w:val="Heading1"/>
        <w:spacing w:after="120" w:before="360"/>
      </w:pPr>
      <w:r>
        <w:rPr>
          <w:rFonts w:ascii="Arial" w:cs="Arial" w:eastAsia="Arial" w:hAnsi="Arial"/>
          <w:b/>
          <w:bCs/>
          <w:color w:val="1B4F8A"/>
          <w:sz w:val="36"/>
          <w:szCs w:val="36"/>
        </w:rPr>
        <w:t xml:space="preserve">14. Summary</w:t>
      </w:r>
    </w:p>
    <w:p>
      <w:pPr>
        <w:spacing w:after="80" w:before="60"/>
      </w:pPr>
      <w:r>
        <w:rPr>
          <w:rFonts w:ascii="Arial" w:cs="Arial" w:eastAsia="Arial" w:hAnsi="Arial"/>
          <w:b w:val="false"/>
          <w:bCs w:val="false"/>
          <w:color w:val="1A1A2E"/>
          <w:sz w:val="22"/>
          <w:szCs w:val="22"/>
        </w:rPr>
        <w:t xml:space="preserve">NeoERP has a strong architectural foundation. The Clean Architecture layering is sound, the Design System is well-structured, and the mock-first development approach has enabled rapid UI progress. The immediate priorities are:</w:t>
      </w:r>
    </w:p>
    <w:p>
      <w:pPr>
        <w:spacing w:after="40" w:before="40"/>
      </w:pPr>
      <w:r>
        <w:t xml:space="preserve"/>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F0A500"/>
          <w:sz w:val="22"/>
          <w:szCs w:val="22"/>
        </w:rPr>
        <w:t xml:space="preserve">Close the web/WASM network gap</w:t>
      </w:r>
      <w:r>
        <w:rPr>
          <w:rFonts w:ascii="Arial" w:cs="Arial" w:eastAsia="Arial" w:hAnsi="Arial"/>
          <w:color w:val="5A5A7A"/>
          <w:sz w:val="22"/>
          <w:szCs w:val="22"/>
        </w:rPr>
        <w:t xml:space="preserve"> — Add Ktor JS/WASM engine — this is the only thing preventing web deployment</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F0A500"/>
          <w:sz w:val="22"/>
          <w:szCs w:val="22"/>
        </w:rPr>
        <w:t xml:space="preserve">Complete Koin DI migration</w:t>
      </w:r>
      <w:r>
        <w:rPr>
          <w:rFonts w:ascii="Arial" w:cs="Arial" w:eastAsia="Arial" w:hAnsi="Arial"/>
          <w:color w:val="5A5A7A"/>
          <w:sz w:val="22"/>
          <w:szCs w:val="22"/>
        </w:rPr>
        <w:t xml:space="preserve"> — Replace NeoEnterpriseContainer manual wiring with proper Koin modules</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F0A500"/>
          <w:sz w:val="22"/>
          <w:szCs w:val="22"/>
        </w:rPr>
        <w:t xml:space="preserve">Introduce Decompose navigation</w:t>
      </w:r>
      <w:r>
        <w:rPr>
          <w:rFonts w:ascii="Arial" w:cs="Arial" w:eastAsia="Arial" w:hAnsi="Arial"/>
          <w:color w:val="5A5A7A"/>
          <w:sz w:val="22"/>
          <w:szCs w:val="22"/>
        </w:rPr>
        <w:t xml:space="preserve"> — Enables deep links, backstack, and web URL routing</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F0A500"/>
          <w:sz w:val="22"/>
          <w:szCs w:val="22"/>
        </w:rPr>
        <w:t xml:space="preserve">Add SQLDelight caching</w:t>
      </w:r>
      <w:r>
        <w:rPr>
          <w:rFonts w:ascii="Arial" w:cs="Arial" w:eastAsia="Arial" w:hAnsi="Arial"/>
          <w:color w:val="5A5A7A"/>
          <w:sz w:val="22"/>
          <w:szCs w:val="22"/>
        </w:rPr>
        <w:t xml:space="preserve"> — Offline-first for the ESS and HR read paths</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1A7A4A"/>
          <w:sz w:val="22"/>
          <w:szCs w:val="22"/>
        </w:rPr>
        <w:t xml:space="preserve">Clean Architecture layering</w:t>
      </w:r>
      <w:r>
        <w:rPr>
          <w:rFonts w:ascii="Arial" w:cs="Arial" w:eastAsia="Arial" w:hAnsi="Arial"/>
          <w:color w:val="5A5A7A"/>
          <w:sz w:val="22"/>
          <w:szCs w:val="22"/>
        </w:rPr>
        <w:t xml:space="preserve"> — Already well-implemented — maintain strictly</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1A7A4A"/>
          <w:sz w:val="22"/>
          <w:szCs w:val="22"/>
        </w:rPr>
        <w:t xml:space="preserve">NeoDesignSystem</w:t>
      </w:r>
      <w:r>
        <w:rPr>
          <w:rFonts w:ascii="Arial" w:cs="Arial" w:eastAsia="Arial" w:hAnsi="Arial"/>
          <w:color w:val="5A5A7A"/>
          <w:sz w:val="22"/>
          <w:szCs w:val="22"/>
        </w:rPr>
        <w:t xml:space="preserve"> — Solid token-based design system — extend, do not bypass</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1A7A4A"/>
          <w:sz w:val="22"/>
          <w:szCs w:val="22"/>
        </w:rPr>
        <w:t xml:space="preserve">Role-based permissions</w:t>
      </w:r>
      <w:r>
        <w:rPr>
          <w:rFonts w:ascii="Arial" w:cs="Arial" w:eastAsia="Arial" w:hAnsi="Arial"/>
          <w:color w:val="5A5A7A"/>
          <w:sz w:val="22"/>
          <w:szCs w:val="22"/>
        </w:rPr>
        <w:t xml:space="preserve"> — NeoPermissionResolver is clean — add runtime re-validation</w:t>
      </w:r>
    </w:p>
    <w:p>
      <w:pPr>
        <w:pStyle w:val="ListParagraph"/>
        <w:numPr>
          <w:ilvl w:val="0"/>
          <w:numId w:val="2"/>
        </w:numPr>
        <w:spacing w:after="40" w:before="40"/>
      </w:pPr>
      <w:r>
        <w:rPr>
          <w:rFonts w:ascii="Segoe UI Emoji" w:cs="Segoe UI Emoji" w:eastAsia="Segoe UI Emoji" w:hAnsi="Segoe UI Emoji"/>
          <w:sz w:val="22"/>
          <w:szCs w:val="22"/>
        </w:rPr>
        <w:t xml:space="preserve">✅ </w:t>
      </w:r>
      <w:r>
        <w:rPr>
          <w:rFonts w:ascii="Arial" w:cs="Arial" w:eastAsia="Arial" w:hAnsi="Arial"/>
          <w:b/>
          <w:bCs/>
          <w:color w:val="1A7A4A"/>
          <w:sz w:val="22"/>
          <w:szCs w:val="22"/>
        </w:rPr>
        <w:t xml:space="preserve">AbstractStateMachine foundation</w:t>
      </w:r>
      <w:r>
        <w:rPr>
          <w:rFonts w:ascii="Arial" w:cs="Arial" w:eastAsia="Arial" w:hAnsi="Arial"/>
          <w:color w:val="5A5A7A"/>
          <w:sz w:val="22"/>
          <w:szCs w:val="22"/>
        </w:rPr>
        <w:t xml:space="preserve"> — Exists in core — migrate remaining FeatureState classes to it</w:t>
      </w:r>
    </w:p>
    <w:p>
      <w:pPr>
        <w:spacing w:after="40" w:before="40"/>
      </w:pPr>
      <w:r>
        <w:t xml:space="preserve"/>
      </w:r>
    </w:p>
    <w:p>
      <w:pPr>
        <w:pBdr>
          <w:left w:val="single" w:color="2D7DD2" w:sz="6" w:space="8"/>
        </w:pBdr>
        <w:spacing w:after="80" w:before="80"/>
        <w:ind w:left="300"/>
      </w:pPr>
      <w:r>
        <w:rPr>
          <w:rFonts w:ascii="Arial" w:cs="Arial" w:eastAsia="Arial" w:hAnsi="Arial"/>
          <w:i/>
          <w:iCs/>
          <w:color w:val="5A5A7A"/>
          <w:sz w:val="22"/>
          <w:szCs w:val="22"/>
        </w:rPr>
        <w:t xml:space="preserve">The Kotlin Multiplatform + Compose Multiplatform stack is the right choice for NeoERP. Once the web network gap is closed and Koin DI is in place, all five targets (Android, iOS, Desktop, JS, WASM) share a single codebase with zero code duplication in business logic.</w:t>
      </w:r>
    </w:p>
    <w:p>
      <w:pPr>
        <w:spacing w:after="40" w:before="40"/>
      </w:pPr>
      <w:r>
        <w:t xml:space="preserve"/>
      </w:r>
    </w:p>
    <w:p>
      <w:pPr>
        <w:pBdr>
          <w:top w:val="single" w:color="F0A500" w:sz="4" w:space="4"/>
        </w:pBdr>
        <w:spacing w:after="40" w:before="240"/>
      </w:pPr>
      <w:r>
        <w:rPr>
          <w:rFonts w:ascii="Arial" w:cs="Arial" w:eastAsia="Arial" w:hAnsi="Arial"/>
          <w:color w:val="5A5A7A"/>
          <w:sz w:val="18"/>
          <w:szCs w:val="18"/>
        </w:rPr>
        <w:t xml:space="preserve">NeoERP — Enterprise Architecture Guide v2.0 | Neovatus | April 2026 | Prepared by Claude AI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8640"/>
      </w:tabs>
    </w:pPr>
    <w:r>
      <w:rPr>
        <w:rFonts w:ascii="Arial" w:cs="Arial" w:eastAsia="Arial" w:hAnsi="Arial"/>
        <w:color w:val="5A5A7A"/>
        <w:sz w:val="16"/>
        <w:szCs w:val="16"/>
      </w:rPr>
      <w:t xml:space="preserve">Confidential — Internal Use Only</w:t>
    </w:r>
    <w:r>
      <w:rPr>
        <w:rFonts w:ascii="Arial" w:cs="Arial" w:eastAsia="Arial" w:hAnsi="Arial"/>
      </w:rPr>
      <w:t xml:space="preserve">	</w:t>
    </w:r>
    <w:r>
      <w:rPr>
        <w:rFonts w:ascii="Arial" w:cs="Arial" w:eastAsia="Arial" w:hAnsi="Arial"/>
        <w:color w:val="5A5A7A"/>
        <w:sz w:val="16"/>
        <w:szCs w:val="16"/>
      </w:rPr>
      <w:t xml:space="preserve">Page </w:t>
    </w:r>
    <w:r>
      <w:rPr>
        <w:rFonts w:ascii="Arial" w:cs="Arial" w:eastAsia="Arial" w:hAnsi="Arial"/>
        <w:color w:val="5A5A7A"/>
        <w:sz w:val="16"/>
        <w:szCs w:val="16"/>
      </w:rPr>
      <w:fldChar w:fldCharType="begin"/>
      <w:instrText xml:space="preserve">PAGE</w:instrText>
      <w:fldChar w:fldCharType="separate"/>
      <w:fldChar w:fldCharType="end"/>
    </w:r>
    <w:r>
      <w:rPr>
        <w:rFonts w:ascii="Arial" w:cs="Arial" w:eastAsia="Arial" w:hAnsi="Arial"/>
        <w:color w:val="5A5A7A"/>
        <w:sz w:val="16"/>
        <w:szCs w:val="16"/>
      </w:rPr>
      <w:t xml:space="preserve"> of </w:t>
    </w:r>
    <w:r>
      <w:rPr>
        <w:rFonts w:ascii="Arial" w:cs="Arial" w:eastAsia="Arial" w:hAnsi="Arial"/>
        <w:color w:val="5A5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tabs>
        <w:tab w:val="right" w:pos="8640"/>
      </w:tabs>
    </w:pPr>
    <w:r>
      <w:rPr>
        <w:rFonts w:ascii="Arial" w:cs="Arial" w:eastAsia="Arial" w:hAnsi="Arial"/>
        <w:color w:val="5A5A7A"/>
        <w:sz w:val="18"/>
        <w:szCs w:val="18"/>
      </w:rPr>
      <w:t xml:space="preserve">NeoERP — Enterprise Architecture Guide</w:t>
    </w:r>
    <w:r>
      <w:rPr>
        <w:rFonts w:ascii="Arial" w:cs="Arial" w:eastAsia="Arial" w:hAnsi="Arial"/>
      </w:rPr>
      <w:t xml:space="preserve">	</w:t>
    </w:r>
    <w:r>
      <w:rPr>
        <w:rFonts w:ascii="Arial" w:cs="Arial" w:eastAsia="Arial" w:hAnsi="Arial"/>
        <w:color w:val="5A5A7A"/>
        <w:sz w:val="18"/>
        <w:szCs w:val="18"/>
      </w:rPr>
      <w:t xml:space="preserve">Neovatus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D7DD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2026-04-12T14:17:08.547Z</dcterms:created>
  <dcterms:modified xsi:type="dcterms:W3CDTF">2026-04-12T14:17:08.547Z</dcterms:modified>
</cp:coreProperties>
</file>

<file path=docProps/custom.xml><?xml version="1.0" encoding="utf-8"?>
<Properties xmlns="http://schemas.openxmlformats.org/officeDocument/2006/custom-properties" xmlns:vt="http://schemas.openxmlformats.org/officeDocument/2006/docPropsVTypes"/>
</file>