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jc w:val="center"/>
      </w:pPr>
      <w:r>
        <w:rPr>
          <w:b/>
          <w:bCs/>
          <w:sz w:val="40"/>
          <w:szCs w:val="40"/>
        </w:rPr>
        <w:t xml:space="preserve">NeoERP — Frontend / Backend Contract</w:t>
      </w:r>
    </w:p>
    <w:p>
      <w:pPr>
        <w:spacing w:after="400"/>
        <w:jc w:val="center"/>
      </w:pPr>
      <w:r>
        <w:rPr>
          <w:b/>
          <w:bCs/>
          <w:sz w:val="40"/>
          <w:szCs w:val="40"/>
        </w:rPr>
        <w:t xml:space="preserve">&amp; Responsibility Guide</w:t>
      </w:r>
    </w:p>
    <w:p>
      <w:pPr>
        <w:spacing w:after="400"/>
        <w:jc w:val="center"/>
      </w:pPr>
      <w:r>
        <w:rPr>
          <w:sz w:val="24"/>
          <w:szCs w:val="24"/>
        </w:rPr>
        <w:t xml:space="preserve">Version 1.0 | April 2026</w:t>
      </w:r>
    </w:p>
    <w:p>
      <w:r>
        <w:br w:type="page"/>
      </w:r>
    </w:p>
    <w:p>
      <w:pPr>
        <w:pStyle w:val="Heading1"/>
      </w:pPr>
      <w:r>
        <w:t xml:space="preserve">Section 1: Purpose</w:t>
      </w:r>
    </w:p>
    <w:p>
      <w:pPr>
        <w:spacing w:after="240"/>
      </w:pPr>
      <w:r>
        <w:t xml:space="preserve">This document defines the boundary between the NeoERP frontend (Kotlin Multiplatform client) and the backend (REST API). It clarifies which component owns specific responsibilities, establishes shared contracts that both sides must honour, and provides a reference for resolving ambiguities about validation, error handling, and feature implementation.</w:t>
      </w:r>
    </w:p>
    <w:p>
      <w:pPr>
        <w:spacing w:after="240"/>
      </w:pPr>
      <w:r>
        <w:t xml:space="preserve">By maintaining this contract, both frontend and backend teams reduce integration risks, enable parallel development, and ensure consistent user experience across all platforms (Android, iOS, Web, Desktop).</w:t>
      </w:r>
    </w:p>
    <w:p>
      <w:pPr>
        <w:pStyle w:val="Heading1"/>
      </w:pPr>
      <w:r>
        <w:t xml:space="preserve">Section 2: Architecture Overview</w:t>
      </w:r>
    </w:p>
    <w:p>
      <w:pPr>
        <w:pStyle w:val="Heading2"/>
      </w:pPr>
      <w:r>
        <w:t xml:space="preserve">Frontend Layers</w:t>
      </w:r>
    </w:p>
    <w:p>
      <w:pPr>
        <w:spacing w:after="120"/>
      </w:pPr>
      <w:r>
        <w:t xml:space="preserve">The frontend follows Clean Architecture with horizontal layering: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Presentation Layer (UI) → Domain Use Cases (Business Logic) → Repository Interface → Data Implementation (HTTP + Local Cache) → HTTP Transport (Ktor Client)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 interactions flow downward to HTTP; responses flow upward through NeoError handling and state management.</w:t>
            </w:r>
          </w:p>
        </w:tc>
      </w:tr>
    </w:tbl>
    <w:p>
      <w:pPr>
        <w:spacing w:after="200"/>
      </w:pPr>
    </w:p>
    <w:p>
      <w:pPr>
        <w:pStyle w:val="Heading2"/>
      </w:pPr>
      <w:r>
        <w:t xml:space="preserve">Backend Layers</w:t>
      </w:r>
    </w:p>
    <w:p>
      <w:pPr>
        <w:spacing w:after="120"/>
      </w:pPr>
      <w:r>
        <w:t xml:space="preserve">The backend provides a REST API with its own layering: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API Gateway (HTTP) → Service Layer (Orchestration) → Business Logic (Domain Rules) → Database (Single Source of Truth)</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write operations validate input, enforce business rules, and are persisted before responding to the client.</w:t>
            </w:r>
          </w:p>
        </w:tc>
      </w:tr>
    </w:tbl>
    <w:p>
      <w:pPr>
        <w:spacing w:after="200"/>
      </w:pPr>
    </w:p>
    <w:p>
      <w:pPr>
        <w:pStyle w:val="Heading2"/>
      </w:pPr>
      <w:r>
        <w:t xml:space="preserve">The Boundary</w:t>
      </w:r>
    </w:p>
    <w:p>
      <w:r>
        <w:t xml:space="preserve">The boundary sits at the HTTPS REST API. Contract language is JSON (UTF-8), ISO 8601 timestamps, and Bearer token authentication.</w:t>
      </w:r>
    </w:p>
    <w:p>
      <w:pPr>
        <w:spacing w:after="400"/>
      </w:pPr>
    </w:p>
    <w:p>
      <w:pPr>
        <w:pStyle w:val="Heading1"/>
      </w:pPr>
      <w:r>
        <w:t xml:space="preserve">Section 3: Frontend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Responsibility</w:t>
            </w:r>
          </w:p>
        </w:tc>
        <w:tc>
          <w:tcPr>
            <w:tcW w:type="dxa" w:w="6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UI Rendering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Adaptive layouts for mobile, tablet, desktop, and web using Compose Multiplatform. Respects user locale and theme preferences.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Client-side pre-flight validation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Format checks only: email regex, required fields, min/max length, password strength meter. Never enforces business rules (backend is authoritative).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Navigation &amp; routing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Decompose ChildStack for screen stack; BrowserHistory on web; hardware back button support on Android.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Session management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Stores tokens in platform keychain (iOS) / secure storage (Android). Never stores passwords. Manages Authorization header and expiry.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PKCE auth flow</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Generates code_verifier, computes SHA-256 code_challenge, redirects to IdP, exchanges authorization code for tokens.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Optimistic UI</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 show pending state for fast operations, but always confirms from server response before committing 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Permission-gated UI</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Hides controls user lacks permission for (based on session permissions). Does NOT enforce — only guides UX.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Offline / mock mode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mock data layer available for development and offline demos, toggled via NeoErpEnvironment configuration.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Error display</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Maps NeoError subtypes to user-facing messages with retry affordance. Shows field errors inline for validation failures.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Token refresh</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Presents refresh_token to /api/auth/token on access token expiry. On 401, clears session and redirects to login.</w:t>
            </w:r>
          </w:p>
        </w:tc>
      </w:tr>
    </w:tbl>
    <w:p>
      <w:pPr>
        <w:spacing w:after="400"/>
      </w:pPr>
    </w:p>
    <w:p>
      <w:pPr>
        <w:pStyle w:val="Heading1"/>
      </w:pPr>
      <w:r>
        <w:t xml:space="preserve">Section 4: Backend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Responsibility</w:t>
            </w:r>
          </w:p>
        </w:tc>
        <w:tc>
          <w:tcPr>
            <w:tcW w:type="dxa" w:w="6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rule enforcement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business logic lives here. Frontend may pre-check formats, but backend is the authority.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 persistence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Single source of truth for all data. Frontend never writes directly to database.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Authoritative validation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Re-validates all input regardless of frontend pre-checks. Returns structured fieldErrors map.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Authentication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Issues and revokes JWT access + refresh tokens. Validates PKCE code_challenge/verifier match.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Authorization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Enforces RBAC on every endpoint. Returns 403 if user lacks permission, regardless of UI 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Audit logging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Records who did what and when in immutable audit table. Frontend never writes audit logs.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Workflow orchestration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Multi-step business processes (payroll runs, leave approvals) driven server-side with state machines.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 aggregation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Dashboard summaries, report generation, KPI calculations happen server-side (not client-side aggregation).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Module licensing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Determines which NeoModule entries are enabled for tenant. Frontend reads from session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Idempotency</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Write endpoints (POST/PUT/PATCH) accept Idempotency-Key header. Duplicate submissions within 24h return same response.</w:t>
            </w:r>
          </w:p>
        </w:tc>
      </w:tr>
    </w:tbl>
    <w:p>
      <w:pPr>
        <w:spacing w:after="400"/>
      </w:pPr>
    </w:p>
    <w:p>
      <w:r>
        <w:br w:type="page"/>
      </w:r>
    </w:p>
    <w:p>
      <w:pPr>
        <w:pStyle w:val="Heading1"/>
      </w:pPr>
      <w:r>
        <w:t xml:space="preserve">Section 5: API Contract Standards</w:t>
      </w:r>
    </w:p>
    <w:p>
      <w:pPr>
        <w:pStyle w:val="Heading2"/>
      </w:pPr>
      <w:r>
        <w:t xml:space="preserve">5.1 Base 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https://{tenant}.neoerp.io/api/{resource}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 for self-hosted:</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https://{host}/api/{resource}</w:t>
            </w:r>
          </w:p>
        </w:tc>
      </w:tr>
    </w:tbl>
    <w:p>
      <w:pPr>
        <w:spacing w:after="240"/>
      </w:pPr>
    </w:p>
    <w:p>
      <w:pPr>
        <w:pStyle w:val="Heading2"/>
      </w:pPr>
      <w:r>
        <w:t xml:space="preserve">5.2 HTTP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Use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Body</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Idempotent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JSON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replace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JSON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Partial update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JSON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Soft delete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bl>
    <w:p>
      <w:pPr>
        <w:spacing w:after="240"/>
      </w:pPr>
      <w:r>
        <w:t xml:space="preserve">* Use Idempotency-Key header to make idempotent</w:t>
      </w:r>
    </w:p>
    <w:p>
      <w:pPr>
        <w:pStyle w:val="Heading2"/>
      </w:pPr>
      <w:r>
        <w:t xml:space="preserve">5.3 Standard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Header</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Direction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Required</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Authorization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 only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Bearer {access_token}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Content-Type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POST/PUT/PATCH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application/json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application/json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X-Tenant-ID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Tenant identifier from workspace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X-Request-ID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Recommended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UUID for request tracing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Idempotency-Key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POST/PATCH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UUID v4, valid 24h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X-NeoERP-Version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Recommended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 app version e.g. 1.0.0</w:t>
            </w:r>
          </w:p>
        </w:tc>
      </w:tr>
    </w:tbl>
    <w:p>
      <w:pPr>
        <w:spacing w:after="240"/>
      </w:pPr>
    </w:p>
    <w:p>
      <w:pPr>
        <w:pStyle w:val="Heading2"/>
      </w:pPr>
      <w:r>
        <w:t xml:space="preserve">5.4 Standard Error Response</w:t>
      </w:r>
    </w:p>
    <w:p>
      <w:pPr>
        <w:spacing w:after="120"/>
      </w:pPr>
      <w:r>
        <w:t xml:space="preserve">ALL 4xx and 5xx responses MUST return this JSON body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
  "code": "IAM_ROLE_NOT_FOUND",
  "message": "The requested role does not exist.",
  "fieldErrors": {
    "roleName": "Role 'SuperAdmin2' does not exist"
  },
  "requestId": "req_abc123",
  "timestamp": "2026-04-12T09:30:00Z"
}</w:t>
            </w:r>
          </w:p>
        </w:tc>
      </w:tr>
    </w:tbl>
    <w:p>
      <w:pPr>
        <w:spacing w:after="120"/>
      </w:pPr>
    </w:p>
    <w:p>
      <w:pPr>
        <w:spacing w:after="120"/>
      </w:pPr>
      <w:r>
        <w:t xml:space="preserve">Error code prefixes: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Prefix</w:t>
            </w:r>
          </w:p>
        </w:tc>
        <w:tc>
          <w:tcPr>
            <w:tcW w:type="dxa" w:w="6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AUTH_xxx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Authentication / token errors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AUTHZ_xxx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Authorization / permission errors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VALID_xxx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Input validation errors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NOTFOUND_xxx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Resource not found (404)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CONFLICT_xxx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Duplicate / uniqueness violations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SERVER_xxx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Internal server errors (5xx)</w:t>
            </w:r>
          </w:p>
        </w:tc>
      </w:tr>
    </w:tbl>
    <w:p>
      <w:pPr>
        <w:spacing w:after="240"/>
      </w:pPr>
    </w:p>
    <w:p>
      <w:pPr>
        <w:pStyle w:val="Heading2"/>
      </w:pPr>
      <w:r>
        <w:t xml:space="preserve">5.5 Pagination</w:t>
      </w:r>
    </w:p>
    <w:p>
      <w:pPr>
        <w:spacing w:after="120"/>
      </w:pPr>
      <w:r>
        <w:t xml:space="preserve">All list endpoints support these query parameters: page (0-indexed, default 0), size (default 20, max 100), sort (field:asc|desc).</w:t>
      </w:r>
    </w:p>
    <w:p>
      <w:pPr>
        <w:spacing w:after="120"/>
      </w:pPr>
      <w:r>
        <w:t xml:space="preserve">Response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
  "data": [...],
  "page": 0,
  "size": 20,
  "totalElements": 150,
  "totalPages": 8
}</w:t>
            </w:r>
          </w:p>
        </w:tc>
      </w:tr>
    </w:tbl>
    <w:p>
      <w:pPr>
        <w:spacing w:after="240"/>
      </w:pPr>
    </w:p>
    <w:p>
      <w:pPr>
        <w:pStyle w:val="Heading2"/>
      </w:pPr>
      <w:r>
        <w:t xml:space="preserve">5.6 Date &amp;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Format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timestamp (UTC)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2026-04-12T09:30:00Z (ISO 8601)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 only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2026-04-12 (ISO 8601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 display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Always convert to user local timezone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Always UTC (Z suffix)</w:t>
            </w:r>
          </w:p>
        </w:tc>
      </w:tr>
    </w:tbl>
    <w:p>
      <w:pPr>
        <w:spacing w:after="240"/>
      </w:pPr>
    </w:p>
    <w:p>
      <w:pPr>
        <w:pStyle w:val="Heading2"/>
      </w:pPr>
      <w:r>
        <w:t xml:space="preserve">5.7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Aspect</w:t>
            </w:r>
          </w:p>
        </w:tc>
        <w:tc>
          <w:tcPr>
            <w:tcW w:type="dxa" w:w="6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Current version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Version header</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Accept: application/vnd.neoerp.v1+json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Breaking changes</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Require new version prefix (e.g., /api/v2/...)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Deprecation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Deprecated endpoints return Deprecation header</w:t>
            </w:r>
          </w:p>
        </w:tc>
      </w:tr>
    </w:tbl>
    <w:p>
      <w:pPr>
        <w:spacing w:after="400"/>
      </w:pPr>
    </w:p>
    <w:p>
      <w:r>
        <w:br w:type="page"/>
      </w:r>
    </w:p>
    <w:p>
      <w:pPr>
        <w:pStyle w:val="Heading1"/>
      </w:pPr>
      <w:r>
        <w:t xml:space="preserve">Section 6: Authentication Flow</w:t>
      </w:r>
    </w:p>
    <w:p>
      <w:pPr>
        <w:pStyle w:val="Heading2"/>
      </w:pPr>
      <w:r>
        <w:t xml:space="preserve">6.1 PKCE Flow (Browser / Mobile)</w:t>
      </w:r>
    </w:p>
    <w:p>
      <w:pPr>
        <w:spacing w:after="100"/>
      </w:pPr>
      <w:r>
        <w:t xml:space="preserve">1. Frontend generates 43-128 char code_verifier (cryptographically random)</w:t>
      </w:r>
    </w:p>
    <w:p>
      <w:pPr>
        <w:spacing w:after="100"/>
      </w:pPr>
      <w:r>
        <w:t xml:space="preserve">2. Frontend computes code_challenge = BASE64URL(SHA-256(code_verifier))</w:t>
      </w:r>
    </w:p>
    <w:p>
      <w:pPr>
        <w:spacing w:after="100"/>
      </w:pPr>
      <w:r>
        <w:t xml:space="preserve">3. Frontend redirects to: GET /api/auth/authorize?response_type=code&amp;code_challenge={challenge}&amp;code_challenge_method=S256&amp;client_id={id}&amp;redirect_uri={uri}</w:t>
      </w:r>
    </w:p>
    <w:p>
      <w:pPr>
        <w:spacing w:after="100"/>
      </w:pPr>
      <w:r>
        <w:t xml:space="preserve">4. User authenticates at Identity Provider</w:t>
      </w:r>
    </w:p>
    <w:p>
      <w:pPr>
        <w:spacing w:after="100"/>
      </w:pPr>
      <w:r>
        <w:t xml:space="preserve">5. IdP redirects to redirect_uri with ?code={auth_code}</w:t>
      </w:r>
    </w:p>
    <w:p>
      <w:pPr>
        <w:spacing w:after="100"/>
      </w:pPr>
      <w:r>
        <w:t xml:space="preserve">6. Frontend POSTs to /api/auth/token with: grant_type=authorization_code, code, code_verifier, redirect_uri</w:t>
      </w:r>
    </w:p>
    <w:p>
      <w:pPr>
        <w:spacing w:after="100"/>
      </w:pPr>
      <w:r>
        <w:t xml:space="preserve">7. Backend verifies SHA-256(code_verifier) == stored code_challenge, exchanges for JWT tokens</w:t>
      </w:r>
    </w:p>
    <w:p>
      <w:pPr>
        <w:spacing w:after="240"/>
      </w:pPr>
      <w:r>
        <w:t xml:space="preserve">8. Backend returns: access_token (15 min TTL), refresh_token (7 day TTL), token_type=Bearer, expires_in</w:t>
      </w:r>
    </w:p>
    <w:p>
      <w:pPr>
        <w:pStyle w:val="Heading2"/>
      </w:pPr>
      <w:r>
        <w:t xml:space="preserve">6.2 Token Refresh</w:t>
      </w:r>
    </w:p>
    <w:p>
      <w:pPr>
        <w:spacing w:after="100"/>
      </w:pPr>
      <w:r>
        <w:t xml:space="preserve">When access_token expires:</w:t>
      </w:r>
    </w:p>
    <w:p>
      <w:pPr>
        <w:spacing w:after="100"/>
      </w:pPr>
      <w:r>
        <w:t xml:space="preserve">1. Frontend detects 401 response</w:t>
      </w:r>
    </w:p>
    <w:p>
      <w:pPr>
        <w:spacing w:after="100"/>
      </w:pPr>
      <w:r>
        <w:t xml:space="preserve">2. Frontend POSTs to /api/auth/token with: grant_type=refresh_token, refresh_token</w:t>
      </w:r>
    </w:p>
    <w:p>
      <w:pPr>
        <w:spacing w:after="100"/>
      </w:pPr>
      <w:r>
        <w:t xml:space="preserve">3. Backend returns new access_token + refresh_token (rotation)</w:t>
      </w:r>
    </w:p>
    <w:p>
      <w:pPr>
        <w:spacing w:after="240"/>
      </w:pPr>
      <w:r>
        <w:t xml:space="preserve">4. If refresh_token is expired or revoked: backend returns 401, frontend clears session → login screen</w:t>
      </w:r>
    </w:p>
    <w:p>
      <w:pPr>
        <w:pStyle w:val="Heading2"/>
      </w:pPr>
      <w:r>
        <w:t xml:space="preserve">6.3 Sign-Out</w:t>
      </w:r>
    </w:p>
    <w:p>
      <w:r>
        <w:t xml:space="preserve">Frontend POSTs to /api/auth/revoke with: token={refresh_token}. Backend invalidates refresh token family (prevents token reuse attacks).</w:t>
      </w:r>
    </w:p>
    <w:p>
      <w:pPr>
        <w:spacing w:after="400"/>
      </w:pPr>
    </w:p>
    <w:p>
      <w:pPr>
        <w:pStyle w:val="Heading1"/>
      </w:pPr>
      <w:r>
        <w:t xml:space="preserve">Section 7: Validation Responsibility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950"/>
        <w:gridCol w:w="1950"/>
        <w:gridCol w:w="3510"/>
      </w:tblGrid>
      <w:tr>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Field Type</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Frontend</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Backend</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Notes</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Required fields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(inline)</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(VALID_xxx)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Both check for consistency</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format</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(regex)</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(RFC 5322)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Both check; backend checks uniqueness too</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Password strength</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(show meter)</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(enforces policy)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 guides, backend enforces</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Username uniqueness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(CONFLICT_xxx)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only (requires DB lookup)</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date rules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e.g., payroll period overlap</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Referential integrity</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e.g., cost center must exist</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Permission to act</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UI hides button</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(AUTHZ_xxx)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Both check independently</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Numeric ranges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(basic)</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(business rules)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e.g., no negative salary</w:t>
            </w:r>
          </w:p>
        </w:tc>
      </w:tr>
    </w:tbl>
    <w:p>
      <w:pPr>
        <w:spacing w:after="400"/>
      </w:pPr>
    </w:p>
    <w:p>
      <w:pPr>
        <w:pStyle w:val="Heading1"/>
      </w:pPr>
      <w:r>
        <w:t xml:space="preserve">Section 8: Error Handling Chain</w:t>
      </w:r>
    </w:p>
    <w:p>
      <w:r>
        <w:t xml:space="preserve">The error handling flow is:</w:t>
      </w:r>
    </w:p>
    <w:p>
      <w:r>
        <w:t xml:space="preserve">HTTP response → NeoErpNetworkRuntime parses body → NeoApiErrorResponseDto → mapped to NeoError subtype → propagated via NeoResult.Failure → FeatureState sets errorMessage → UI displays with appropriate action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HTTP Status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NeoError Type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UI Behaviour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AuthError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Clear session, redirect to login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AuthError(403)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Show Access denied in-place, no redirect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ValidationError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Highlight form fields with messages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ServerError(404)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Show Not found message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NetworkError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Show Too many requests with delay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500-503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ServerError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Show Server error with retry button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 timeout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NetworkError (retryable)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Show Connection lost with retry button</w:t>
            </w:r>
          </w:p>
        </w:tc>
      </w:tr>
    </w:tbl>
    <w:p>
      <w:pPr>
        <w:spacing w:after="400"/>
      </w:pPr>
    </w:p>
    <w:p>
      <w:r>
        <w:br w:type="page"/>
      </w:r>
    </w:p>
    <w:p>
      <w:pPr>
        <w:pStyle w:val="Heading1"/>
      </w:pPr>
      <w:r>
        <w:t xml:space="preserve">Section 9: Module &amp; Permission Codes</w:t>
      </w:r>
    </w:p>
    <w:p>
      <w:pPr>
        <w:pStyle w:val="Heading2"/>
      </w:pPr>
      <w:r>
        <w:t xml:space="preserve">NeoModule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Module</w:t>
            </w:r>
          </w:p>
        </w:tc>
        <w:tc>
          <w:tcPr>
            <w:tcW w:type="dxa" w:w="6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API Endpoint Prefix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Dashboard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/api/dashboard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TenantAdmin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/api/org, /api/tenant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Iam</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/api/iam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HrOperations</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/api/hr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Payroll</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/api/payroll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EmployeeSelfService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Reports</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/api/reports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FinanceAccounts</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/api/accounts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Settings</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/api/settings</w:t>
            </w:r>
          </w:p>
        </w:tc>
      </w:tr>
    </w:tbl>
    <w:p>
      <w:pPr>
        <w:spacing w:after="240"/>
      </w:pPr>
    </w:p>
    <w:p>
      <w:pPr>
        <w:pStyle w:val="Heading2"/>
      </w:pPr>
      <w:r>
        <w:t xml:space="preserve">NeoAction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Action</w:t>
            </w:r>
          </w:p>
        </w:tc>
        <w:tc>
          <w:tcPr>
            <w:tcW w:type="dxa" w:w="6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HTTP Methods / Endpoint Pattern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View</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Edit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PUT, PATCH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Delete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Approve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 /approve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Execute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 /execute or /run</w:t>
            </w:r>
          </w:p>
        </w:tc>
      </w:tr>
    </w:tbl>
    <w:p>
      <w:pPr>
        <w:spacing w:after="400"/>
      </w:pPr>
    </w:p>
    <w:p>
      <w:pPr>
        <w:pStyle w:val="Heading1"/>
      </w:pPr>
      <w:r>
        <w:t xml:space="preserve">Section 10: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1820"/>
        <w:gridCol w:w="1820"/>
        <w:gridCol w:w="3900"/>
      </w:tblGrid>
      <w:tr>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Layer</w:t>
            </w:r>
          </w:p>
        </w:tc>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Convention</w:t>
            </w:r>
          </w:p>
        </w:tc>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Example</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Notes</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 endpoints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Kebab-case nouns, plural</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/api/iam/role-assignments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RESTful resource path</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JSON fields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camelCase</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fiscalYearId: fy-001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underscores in JSON</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DTO classes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PascalCase + Dto suffix</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IamRoleResponseDto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Maps to API response</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Domain models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PascalCase, no suffix</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IamRole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Core business object</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Error codes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SCREAMING_SNAKE_CASE</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IAM_ROLE_NOT_FOUND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With module prefix</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Module codes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PascalCase enum</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NeoModule.Iam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Immutable enum</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Permission actions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PascalCase enum</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NeoAction.Approve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Per-endpoint action</w:t>
            </w:r>
          </w:p>
        </w:tc>
      </w:tr>
    </w:tbl>
    <w:p>
      <w:pPr>
        <w:spacing w:after="400"/>
      </w:pPr>
    </w:p>
    <w:p>
      <w:pPr>
        <w:pStyle w:val="Heading1"/>
      </w:pPr>
      <w:r>
        <w:t xml:space="preserve">Section 11: Code-Level Enforcement</w:t>
      </w:r>
    </w:p>
    <w:p>
      <w:r>
        <w:t xml:space="preserve">The frontend enforces architectural boundaries via Kotlin annotations in core/contract/:</w:t>
      </w:r>
    </w:p>
    <w:p>
      <w:pPr>
        <w:spacing w:after="120"/>
      </w:pPr>
    </w:p>
    <w:p>
      <w:pPr>
        <w:spacing w:after="60"/>
      </w:pPr>
      <w:r>
        <w:t xml:space="preserve">@ApiDto</w:t>
      </w:r>
    </w:p>
    <w:p>
      <w:r>
        <w:t xml:space="preserve">Marks classes that represent API data. Must live in data/remote/dto/ packages only. Never referenced from domain or presentation layers.</w:t>
      </w:r>
    </w:p>
    <w:p>
      <w:pPr>
        <w:spacing w:after="180"/>
      </w:pPr>
    </w:p>
    <w:p>
      <w:pPr>
        <w:spacing w:after="60"/>
      </w:pPr>
      <w:r>
        <w:t xml:space="preserve">@DomainModel</w:t>
      </w:r>
    </w:p>
    <w:p>
      <w:r>
        <w:t xml:space="preserve">Marks pure domain classes. Must never import DTO types. Keeps business logic decoupled from API representation.</w:t>
      </w:r>
    </w:p>
    <w:p>
      <w:pPr>
        <w:spacing w:after="180"/>
      </w:pPr>
    </w:p>
    <w:p>
      <w:pPr>
        <w:spacing w:after="60"/>
      </w:pPr>
      <w:r>
        <w:t xml:space="preserve">@HttpTransport</w:t>
      </w:r>
    </w:p>
    <w:p>
      <w:r>
        <w:t xml:space="preserve">Marks HTTP transport layer classes (both *Service and *RemoteDataSource patterns). Standardises what both naming conventions represent architecturally.</w:t>
      </w:r>
    </w:p>
    <w:p>
      <w:pPr>
        <w:spacing w:after="180"/>
      </w:pPr>
    </w:p>
    <w:p>
      <w:pPr>
        <w:spacing w:after="60"/>
      </w:pPr>
      <w:r>
        <w:t xml:space="preserve">NeoApiEndpoints</w:t>
      </w:r>
    </w:p>
    <w:p>
      <w:r>
        <w:t xml:space="preserve">Central object containing all API path constants. Backend endpoint changes require updating this file single change, caught by compiler on all call sites. Eliminates string-based endpoint errors.</w:t>
      </w:r>
    </w:p>
    <w:p>
      <w:pPr>
        <w:spacing w:after="400"/>
      </w:pPr>
    </w:p>
    <w:p>
      <w:r>
        <w:t xml:space="preserve">These annotations and the NeoApiEndpoints object ensure that architectural violations are caught at compile time, not at runtime. Any unauthorized cross-layer dependency will fail to compile.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tabs>
        <w:tab w:val="right" w:pos="9000"/>
      </w:tabs>
      <w:spacing w:before="120"/>
    </w:pPr>
    <w:r>
      <w:t xml:space="preserve">NeoERP Frontend/Backend Contract</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00"/>
      </w:tabs>
      <w:spacing w:after="120"/>
    </w:pPr>
    <w:r>
      <w:rPr>
        <w:b/>
        <w:bCs/>
        <w:sz w:val="24"/>
        <w:szCs w:val="24"/>
      </w:rPr>
      <w:t xml:space="preserve">NeoERP</w:t>
    </w:r>
    <w:r>
      <w:rPr>
        <w:b/>
        <w:bCs/>
        <w:sz w:val="20"/>
        <w:szCs w:val="20"/>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2026-04-12T18:40:08.840Z</dcterms:created>
  <dcterms:modified xsi:type="dcterms:W3CDTF">2026-04-12T18:40:08.840Z</dcterms:modified>
</cp:coreProperties>
</file>

<file path=docProps/custom.xml><?xml version="1.0" encoding="utf-8"?>
<Properties xmlns="http://schemas.openxmlformats.org/officeDocument/2006/custom-properties" xmlns:vt="http://schemas.openxmlformats.org/officeDocument/2006/docPropsVTypes"/>
</file>