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B40" w:rsidRPr="00264ADE" w:rsidRDefault="00202B40" w:rsidP="00264ADE">
      <w:pPr>
        <w:spacing w:before="120" w:after="0" w:line="480" w:lineRule="auto"/>
        <w:outlineLvl w:val="0"/>
        <w:rPr>
          <w:rFonts w:eastAsia="Times New Roman" w:cs="Times New Roman"/>
          <w:b/>
          <w:bCs/>
          <w:color w:val="333333"/>
          <w:kern w:val="36"/>
          <w:sz w:val="35"/>
          <w:szCs w:val="35"/>
        </w:rPr>
      </w:pPr>
      <w:r w:rsidRPr="00264ADE">
        <w:rPr>
          <w:rFonts w:eastAsia="Times New Roman" w:cs="Times New Roman"/>
          <w:b/>
          <w:bCs/>
          <w:color w:val="333333"/>
          <w:kern w:val="36"/>
          <w:sz w:val="35"/>
          <w:szCs w:val="35"/>
        </w:rPr>
        <w:t xml:space="preserve">Is NAATI test still </w:t>
      </w:r>
      <w:r w:rsidR="00016748" w:rsidRPr="00264ADE">
        <w:rPr>
          <w:rFonts w:eastAsia="Times New Roman" w:cs="Times New Roman"/>
          <w:b/>
          <w:bCs/>
          <w:color w:val="333333"/>
          <w:kern w:val="36"/>
          <w:sz w:val="35"/>
          <w:szCs w:val="35"/>
        </w:rPr>
        <w:t xml:space="preserve">vital for </w:t>
      </w:r>
      <w:r w:rsidRPr="00264ADE">
        <w:rPr>
          <w:rFonts w:eastAsia="Times New Roman" w:cs="Times New Roman"/>
          <w:b/>
          <w:bCs/>
          <w:color w:val="333333"/>
          <w:kern w:val="36"/>
          <w:sz w:val="35"/>
          <w:szCs w:val="35"/>
        </w:rPr>
        <w:t>migrating to Australia?</w:t>
      </w:r>
    </w:p>
    <w:p w:rsidR="00C05A4B" w:rsidRPr="00264ADE" w:rsidRDefault="00C05A4B" w:rsidP="00264ADE">
      <w:pPr>
        <w:spacing w:before="120" w:after="0" w:line="480" w:lineRule="auto"/>
        <w:outlineLvl w:val="0"/>
        <w:rPr>
          <w:rFonts w:eastAsia="Times New Roman" w:cs="Times New Roman"/>
          <w:bCs/>
          <w:color w:val="333333"/>
          <w:kern w:val="36"/>
          <w:sz w:val="24"/>
          <w:szCs w:val="24"/>
        </w:rPr>
      </w:pPr>
      <w:r w:rsidRPr="00264ADE">
        <w:rPr>
          <w:rFonts w:eastAsia="Times New Roman" w:cs="Times New Roman"/>
          <w:bCs/>
          <w:color w:val="333333"/>
          <w:kern w:val="36"/>
          <w:sz w:val="24"/>
          <w:szCs w:val="24"/>
        </w:rPr>
        <w:t>Hi,</w:t>
      </w:r>
    </w:p>
    <w:p w:rsidR="00C05A4B" w:rsidRPr="00264ADE" w:rsidRDefault="00FC15A4" w:rsidP="00264ADE">
      <w:pPr>
        <w:spacing w:before="120" w:after="0" w:line="480" w:lineRule="auto"/>
        <w:outlineLvl w:val="0"/>
        <w:rPr>
          <w:rFonts w:eastAsia="Times New Roman" w:cs="Times New Roman"/>
          <w:bCs/>
          <w:color w:val="333333"/>
          <w:kern w:val="36"/>
          <w:sz w:val="24"/>
          <w:szCs w:val="24"/>
        </w:rPr>
      </w:pPr>
      <w:hyperlink r:id="rId5" w:history="1">
        <w:r w:rsidR="00C05A4B" w:rsidRPr="00FC15A4">
          <w:rPr>
            <w:rStyle w:val="Hyperlink"/>
            <w:rFonts w:eastAsia="Times New Roman" w:cs="Times New Roman"/>
            <w:bCs/>
            <w:kern w:val="36"/>
            <w:sz w:val="24"/>
            <w:szCs w:val="24"/>
          </w:rPr>
          <w:t>NAATI</w:t>
        </w:r>
      </w:hyperlink>
      <w:r w:rsidR="00C05A4B" w:rsidRPr="00264ADE">
        <w:rPr>
          <w:rFonts w:eastAsia="Times New Roman" w:cs="Times New Roman"/>
          <w:bCs/>
          <w:color w:val="333333"/>
          <w:kern w:val="36"/>
          <w:sz w:val="24"/>
          <w:szCs w:val="24"/>
        </w:rPr>
        <w:t xml:space="preserve"> (National Accreditation Authority for Translators and Interpreters) is a certification and license for migrants willing to work as either translators or interpreters in Australia. So, if applying for Australia Skilled Migration Programs as a translator to work and live permanently then NAATI is very important for you.</w:t>
      </w:r>
    </w:p>
    <w:p w:rsidR="00C05A4B" w:rsidRPr="00202B40" w:rsidRDefault="00C05A4B" w:rsidP="00264ADE">
      <w:pPr>
        <w:spacing w:before="120" w:after="0" w:line="480" w:lineRule="auto"/>
        <w:outlineLvl w:val="0"/>
        <w:rPr>
          <w:rFonts w:eastAsia="Times New Roman" w:cs="Times New Roman"/>
          <w:bCs/>
          <w:color w:val="333333"/>
          <w:kern w:val="36"/>
          <w:sz w:val="24"/>
          <w:szCs w:val="24"/>
        </w:rPr>
      </w:pPr>
      <w:r w:rsidRPr="00264ADE">
        <w:rPr>
          <w:rFonts w:eastAsia="Times New Roman" w:cs="Times New Roman"/>
          <w:bCs/>
          <w:color w:val="333333"/>
          <w:kern w:val="36"/>
          <w:sz w:val="24"/>
          <w:szCs w:val="24"/>
        </w:rPr>
        <w:t>To claim an additional 5 points, NAATI is essential for Australian Immigrations as a permanent resident. In fact, there are three different ways which show the importance of NAATI Australia which are listed below:</w:t>
      </w:r>
    </w:p>
    <w:p w:rsidR="00C05A4B" w:rsidRPr="00264ADE" w:rsidRDefault="00C05A4B" w:rsidP="00264ADE">
      <w:pPr>
        <w:spacing w:before="120" w:after="240" w:line="480" w:lineRule="auto"/>
        <w:rPr>
          <w:rFonts w:eastAsia="Times New Roman" w:cs="Times New Roman"/>
          <w:bCs/>
          <w:color w:val="333333"/>
          <w:sz w:val="24"/>
          <w:szCs w:val="24"/>
        </w:rPr>
      </w:pPr>
      <w:r w:rsidRPr="00264ADE">
        <w:rPr>
          <w:rFonts w:eastAsia="Times New Roman" w:cs="Times New Roman"/>
          <w:bCs/>
          <w:color w:val="333333"/>
          <w:sz w:val="24"/>
          <w:szCs w:val="24"/>
        </w:rPr>
        <w:t xml:space="preserve">1. Although a skills assessment which is required for applicants applying under General Skill Migration Programs also called as Australia Skilled Independent Visa Subclass 189, Australia </w:t>
      </w:r>
      <w:hyperlink r:id="rId6" w:history="1">
        <w:r w:rsidRPr="00FC15A4">
          <w:rPr>
            <w:rStyle w:val="Hyperlink"/>
            <w:rFonts w:eastAsia="Times New Roman" w:cs="Times New Roman"/>
            <w:bCs/>
            <w:sz w:val="24"/>
            <w:szCs w:val="24"/>
          </w:rPr>
          <w:t>State Sponsored Visa Subclass 190 and Australia Skilled Regional Subclass 489</w:t>
        </w:r>
      </w:hyperlink>
      <w:r w:rsidRPr="00264ADE">
        <w:rPr>
          <w:rFonts w:eastAsia="Times New Roman" w:cs="Times New Roman"/>
          <w:bCs/>
          <w:color w:val="333333"/>
          <w:sz w:val="24"/>
          <w:szCs w:val="24"/>
        </w:rPr>
        <w:t>)</w:t>
      </w:r>
    </w:p>
    <w:p w:rsidR="00C05A4B" w:rsidRPr="00264ADE" w:rsidRDefault="00C05A4B" w:rsidP="00264ADE">
      <w:pPr>
        <w:spacing w:before="120" w:after="240" w:line="480" w:lineRule="auto"/>
        <w:rPr>
          <w:rFonts w:eastAsia="Times New Roman" w:cs="Times New Roman"/>
          <w:bCs/>
          <w:color w:val="333333"/>
          <w:sz w:val="24"/>
          <w:szCs w:val="24"/>
        </w:rPr>
      </w:pPr>
      <w:r w:rsidRPr="00264ADE">
        <w:rPr>
          <w:rFonts w:eastAsia="Times New Roman" w:cs="Times New Roman"/>
          <w:bCs/>
          <w:color w:val="333333"/>
          <w:sz w:val="24"/>
          <w:szCs w:val="24"/>
        </w:rPr>
        <w:t>2. By claiming score for certain reservation obtained overseas, or for skilled employment as a translator or interpreter that might be used towards a score-based migration visa.</w:t>
      </w:r>
    </w:p>
    <w:p w:rsidR="00C05A4B" w:rsidRPr="00264ADE" w:rsidRDefault="00C05A4B" w:rsidP="00264ADE">
      <w:pPr>
        <w:spacing w:before="120" w:after="240" w:line="480" w:lineRule="auto"/>
        <w:rPr>
          <w:rFonts w:eastAsia="Times New Roman" w:cs="Times New Roman"/>
          <w:bCs/>
          <w:color w:val="333333"/>
          <w:sz w:val="24"/>
          <w:szCs w:val="24"/>
        </w:rPr>
      </w:pPr>
      <w:r w:rsidRPr="00264ADE">
        <w:rPr>
          <w:rFonts w:eastAsia="Times New Roman" w:cs="Times New Roman"/>
          <w:bCs/>
          <w:color w:val="333333"/>
          <w:sz w:val="24"/>
          <w:szCs w:val="24"/>
        </w:rPr>
        <w:t xml:space="preserve">3. </w:t>
      </w:r>
      <w:proofErr w:type="gramStart"/>
      <w:r w:rsidRPr="00264ADE">
        <w:rPr>
          <w:rFonts w:eastAsia="Times New Roman" w:cs="Times New Roman"/>
          <w:bCs/>
          <w:color w:val="333333"/>
          <w:sz w:val="24"/>
          <w:szCs w:val="24"/>
        </w:rPr>
        <w:t>By</w:t>
      </w:r>
      <w:proofErr w:type="gramEnd"/>
      <w:r w:rsidRPr="00264ADE">
        <w:rPr>
          <w:rFonts w:eastAsia="Times New Roman" w:cs="Times New Roman"/>
          <w:bCs/>
          <w:color w:val="333333"/>
          <w:sz w:val="24"/>
          <w:szCs w:val="24"/>
        </w:rPr>
        <w:t xml:space="preserve"> claiming scores for Credential Community Language (CCL) points.</w:t>
      </w:r>
    </w:p>
    <w:p w:rsidR="00C05A4B" w:rsidRPr="00264ADE" w:rsidRDefault="00C05A4B" w:rsidP="00264ADE">
      <w:pPr>
        <w:spacing w:before="120" w:after="240" w:line="480" w:lineRule="auto"/>
        <w:rPr>
          <w:rFonts w:eastAsia="Times New Roman" w:cs="Times New Roman"/>
          <w:bCs/>
          <w:color w:val="333333"/>
          <w:sz w:val="24"/>
          <w:szCs w:val="24"/>
        </w:rPr>
      </w:pPr>
      <w:r w:rsidRPr="00264ADE">
        <w:rPr>
          <w:rFonts w:eastAsia="Times New Roman" w:cs="Times New Roman"/>
          <w:bCs/>
          <w:color w:val="333333"/>
          <w:sz w:val="24"/>
          <w:szCs w:val="24"/>
        </w:rPr>
        <w:t xml:space="preserve">Australia follows a score-based visa and immigration system to invite potential skilled migrants for (PR) permanent residency. There are three visa categories- namely visa 189, visa 190 and visa 489. To apply under any of these three categories, you require at least 65 immigration </w:t>
      </w:r>
      <w:r w:rsidRPr="00264ADE">
        <w:rPr>
          <w:rFonts w:eastAsia="Times New Roman" w:cs="Times New Roman"/>
          <w:bCs/>
          <w:color w:val="333333"/>
          <w:sz w:val="24"/>
          <w:szCs w:val="24"/>
        </w:rPr>
        <w:lastRenderedPageBreak/>
        <w:t xml:space="preserve">points out of 100 on the Australia Point Assessment grid for the factors which are age, educational requirement, work experience, language capability, and adaptability factors. </w:t>
      </w:r>
    </w:p>
    <w:p w:rsidR="00D83E92" w:rsidRPr="00264ADE" w:rsidRDefault="00D83E92" w:rsidP="00264ADE">
      <w:pPr>
        <w:spacing w:before="120" w:line="480" w:lineRule="auto"/>
        <w:rPr>
          <w:rFonts w:cs="Times New Roman"/>
        </w:rPr>
      </w:pPr>
      <w:r w:rsidRPr="00264ADE">
        <w:rPr>
          <w:rFonts w:cs="Times New Roman"/>
        </w:rPr>
        <w:t xml:space="preserve">Check your score using </w:t>
      </w:r>
      <w:hyperlink r:id="rId7" w:history="1">
        <w:r w:rsidRPr="00FC15A4">
          <w:rPr>
            <w:rStyle w:val="Hyperlink"/>
            <w:rFonts w:cs="Times New Roman"/>
          </w:rPr>
          <w:t>Nepali NAATI CCL test samples</w:t>
        </w:r>
      </w:hyperlink>
      <w:bookmarkStart w:id="0" w:name="_GoBack"/>
      <w:bookmarkEnd w:id="0"/>
      <w:r w:rsidRPr="00264ADE">
        <w:rPr>
          <w:rFonts w:cs="Times New Roman"/>
        </w:rPr>
        <w:t xml:space="preserve"> </w:t>
      </w:r>
    </w:p>
    <w:p w:rsidR="00D83E92" w:rsidRPr="00264ADE" w:rsidRDefault="00D83E92" w:rsidP="00264ADE">
      <w:pPr>
        <w:spacing w:before="120" w:line="480" w:lineRule="auto"/>
        <w:rPr>
          <w:rFonts w:cs="Times New Roman"/>
        </w:rPr>
      </w:pPr>
      <w:r w:rsidRPr="00264ADE">
        <w:rPr>
          <w:rFonts w:cs="Times New Roman"/>
        </w:rPr>
        <w:t>Thus, the higher are your immigration score, the better are your chances of receiving Australia permanent residency (PR).</w:t>
      </w:r>
    </w:p>
    <w:p w:rsidR="00D83E92" w:rsidRPr="00264ADE" w:rsidRDefault="00D83E92" w:rsidP="00264ADE">
      <w:pPr>
        <w:spacing w:before="120" w:line="480" w:lineRule="auto"/>
        <w:rPr>
          <w:rFonts w:cs="Times New Roman"/>
        </w:rPr>
      </w:pPr>
      <w:r w:rsidRPr="00264ADE">
        <w:rPr>
          <w:rFonts w:cs="Times New Roman"/>
        </w:rPr>
        <w:t>With NAATI, you may claim extra 5 points under Credential Community Language points. Thus, NAATI is not a profession but a certification that states you are eligible to work as a translator or interpreter in Australia.</w:t>
      </w:r>
    </w:p>
    <w:p w:rsidR="00C2241D" w:rsidRDefault="00D83E92" w:rsidP="00264ADE">
      <w:pPr>
        <w:spacing w:before="120" w:line="480" w:lineRule="auto"/>
        <w:rPr>
          <w:rFonts w:cs="Times New Roman"/>
        </w:rPr>
      </w:pPr>
      <w:r w:rsidRPr="00264ADE">
        <w:rPr>
          <w:rFonts w:cs="Times New Roman"/>
        </w:rPr>
        <w:t xml:space="preserve">To know more in this regard, you may connect with the Nepali NAATI CCL as well as visa and immigration experts of </w:t>
      </w:r>
      <w:proofErr w:type="spellStart"/>
      <w:r w:rsidRPr="00264ADE">
        <w:rPr>
          <w:rFonts w:cs="Times New Roman"/>
        </w:rPr>
        <w:t>Aptech</w:t>
      </w:r>
      <w:proofErr w:type="spellEnd"/>
      <w:r w:rsidRPr="00264ADE">
        <w:rPr>
          <w:rFonts w:cs="Times New Roman"/>
        </w:rPr>
        <w:t xml:space="preserve"> Global by filling the Australian Immigration Assessment Form. One of the experts will contact you soon to discuss about the Australia permanent residency (PR) query.</w:t>
      </w:r>
    </w:p>
    <w:p w:rsidR="00592183" w:rsidRDefault="00592183" w:rsidP="00264ADE">
      <w:pPr>
        <w:spacing w:before="120" w:line="480" w:lineRule="auto"/>
        <w:rPr>
          <w:rFonts w:cs="Times New Roman"/>
        </w:rPr>
      </w:pPr>
      <w:r>
        <w:rPr>
          <w:rFonts w:cs="Times New Roman"/>
        </w:rPr>
        <w:t>For more info please go through this links:</w:t>
      </w:r>
    </w:p>
    <w:p w:rsidR="00592183" w:rsidRPr="00592183" w:rsidRDefault="00592183" w:rsidP="00592183">
      <w:pPr>
        <w:pStyle w:val="ListParagraph"/>
        <w:numPr>
          <w:ilvl w:val="0"/>
          <w:numId w:val="2"/>
        </w:numPr>
        <w:spacing w:before="120" w:line="480" w:lineRule="auto"/>
        <w:rPr>
          <w:rFonts w:cs="Times New Roman"/>
        </w:rPr>
      </w:pPr>
      <w:hyperlink r:id="rId8" w:history="1">
        <w:r>
          <w:rPr>
            <w:rStyle w:val="Hyperlink"/>
          </w:rPr>
          <w:t>https://nepalinaaticcl.com.au/australian-skilled-immigration-points-requirements/</w:t>
        </w:r>
      </w:hyperlink>
    </w:p>
    <w:p w:rsidR="00592183" w:rsidRPr="00592183" w:rsidRDefault="00592183" w:rsidP="00592183">
      <w:pPr>
        <w:pStyle w:val="ListParagraph"/>
        <w:numPr>
          <w:ilvl w:val="0"/>
          <w:numId w:val="2"/>
        </w:numPr>
        <w:spacing w:before="120" w:line="480" w:lineRule="auto"/>
        <w:rPr>
          <w:rFonts w:cs="Times New Roman"/>
        </w:rPr>
      </w:pPr>
      <w:hyperlink r:id="rId9" w:history="1">
        <w:r>
          <w:rPr>
            <w:rStyle w:val="Hyperlink"/>
          </w:rPr>
          <w:t>https://nepalinaaticcl.com.au/criteria-for-invitation-rounds/</w:t>
        </w:r>
      </w:hyperlink>
    </w:p>
    <w:p w:rsidR="00592183" w:rsidRPr="00264ADE" w:rsidRDefault="00592183" w:rsidP="00264ADE">
      <w:pPr>
        <w:spacing w:before="120" w:line="480" w:lineRule="auto"/>
        <w:rPr>
          <w:rFonts w:cs="Times New Roman"/>
        </w:rPr>
      </w:pPr>
    </w:p>
    <w:sectPr w:rsidR="00592183" w:rsidRPr="0026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63F08"/>
    <w:multiLevelType w:val="hybridMultilevel"/>
    <w:tmpl w:val="65389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4CDB"/>
    <w:multiLevelType w:val="multilevel"/>
    <w:tmpl w:val="86EA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40"/>
    <w:rsid w:val="00016748"/>
    <w:rsid w:val="000917C4"/>
    <w:rsid w:val="00202B40"/>
    <w:rsid w:val="00232D7A"/>
    <w:rsid w:val="00264ADE"/>
    <w:rsid w:val="0051343B"/>
    <w:rsid w:val="00592183"/>
    <w:rsid w:val="009674C8"/>
    <w:rsid w:val="00C05A4B"/>
    <w:rsid w:val="00D83E92"/>
    <w:rsid w:val="00FC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D9148-AB75-4579-AAB5-53E76CF7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B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20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202B40"/>
  </w:style>
  <w:style w:type="character" w:styleId="Hyperlink">
    <w:name w:val="Hyperlink"/>
    <w:basedOn w:val="DefaultParagraphFont"/>
    <w:uiPriority w:val="99"/>
    <w:unhideWhenUsed/>
    <w:rsid w:val="00202B4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2B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202B40"/>
  </w:style>
  <w:style w:type="paragraph" w:styleId="BalloonText">
    <w:name w:val="Balloon Text"/>
    <w:basedOn w:val="Normal"/>
    <w:link w:val="BalloonTextChar"/>
    <w:uiPriority w:val="99"/>
    <w:semiHidden/>
    <w:unhideWhenUsed/>
    <w:rsid w:val="00016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74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92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palinaaticcl.com.au/australian-skilled-immigration-points-require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palinaaticcl.com.au/nepali-naati-test-s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palinaaticcl.com.au/migration-amendment-in-ccl-naat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epalinaaticcl.com.a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palinaaticcl.com.au/criteria-for-invitation-rou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2019-12-24T03:33:00Z</dcterms:created>
  <dcterms:modified xsi:type="dcterms:W3CDTF">2020-01-05T03:08:00Z</dcterms:modified>
</cp:coreProperties>
</file>