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Empathy Matching and Mimicry 3.0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Four emotions are nominated.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Eg - Anger, happiness, serenity and anxiety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Three people sit on chairs in a circle, facing outwards.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They can see individual screens. 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 BCI system is hooked up to each and baseline levels are taken to ascertain a standardised basic graphic for each of their interpretations of the chosen emotions.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No emotion is given. All three merely look at the screens and attempt to match their given graphics. 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Neural Congruence </w:t>
        <w:tab/>
        <w:t xml:space="preserve">Semiotic  </w:t>
        <w:tab/>
        <w:t xml:space="preserve"> 1 2 3 4 5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 xml:space="preserve"> 6 </w:t>
      </w:r>
      <w:r>
        <w:rPr>
          <w:sz w:val="34"/>
          <w:szCs w:val="34"/>
          <w:rtl w:val="0"/>
          <w:lang w:val="en-US"/>
        </w:rPr>
        <w:t>7   Engramic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Distribution of Agency.  Egocentric.     1 2 3 4 5 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 xml:space="preserve">6 </w:t>
      </w:r>
      <w:r>
        <w:rPr>
          <w:sz w:val="34"/>
          <w:szCs w:val="34"/>
          <w:rtl w:val="0"/>
          <w:lang w:val="en-US"/>
        </w:rPr>
        <w:t>7   Allocentric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285055</wp:posOffset>
            </wp:positionV>
            <wp:extent cx="4824704" cy="36185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04" cy="3618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sz w:val="34"/>
          <w:szCs w:val="34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