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технічний університет України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«Київський політехнічний інститут  ім. І. Сікорського»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автоматизації проектування енергетичних процесів і систем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«Операційні системи»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Технологія роботи з системними засобами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Варіант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№1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Виконав: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1-го курсу, ТЕФ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групи ТР-15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Руденко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В.І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Перевірила: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д.т.н. Левченко Л.О.</w:t>
      </w:r>
    </w:p>
    <w:p>
      <w:pPr>
        <w:spacing w:before="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КИЇВ-2022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ознайомитися з технологією роботи створення асемблерної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uk-UA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програми.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uk-UA"/>
        </w:rPr>
        <w:t>е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тична частина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Асемблери зазвичай виконують два або більше проходів по тексту програми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при трансляції. При першому проході асемблер проглядає усю вхідну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програму та створює таблицю символів, яка містить імена та мітки, що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зустрічаються в програмі. При другому проході асемблер використовує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таблицю символів, в якій відома довжина кожної команди та її відносне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розташування, а також формує об’єктний код для кожної інструкції. Після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цього асемблер створює об’єктний файл (*.obj), файл лістингу (*.lst) та файл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перехресних посилань (*.crt).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Процес підготовки та відладки програми на мові Асемблер включає такі етапи: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підготовка у текстовому редакторі Notepad файлу за шаблоном *.asm, його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трансляцію, компоновку, відладку програми за допомогою інтерактивного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відладчика.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Для виконання трансляції використовується пакет TASM.EXE (програма-асемблер). В командному рядку ця програма запускається наступним чином: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TASM.EXE [ключі] ім’я_вхідного_файлу [, ім’я_об’єктного_файла]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[, ім’я_файла_лістингу] [, ім’я_файла_перехресних_посилань].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При запуску транслятора треба використовувати два ключа: /la - виведення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розширеного варіанту лістингу транслятора, /zi – отримання повної інформації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для відладчика. Наприклад, tasm /la /zi pr.asm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Ключі можна подивитися просто запустивши tlink без параметрів.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При запуску компоновщика треба використовувати два ключа: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/х – не створювати файл з розширенням *.map (подавляється формування файлу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лістингу компоновки, в якому відображається карта завантаження, без цього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файла можна обійтись)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/v – передає у завантажувальний файл символьну інформацію, яка дозволяє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відладчику TD виводити на екран повний текст вхідної програми, включаючи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мітки, коментарі та ін.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Для отримання виконуваного модуля треба запустити tlink /х /v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>Lr2R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.obj, врезультаті буде отриманий модуль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GB"/>
        </w:rPr>
        <w:t>Lr2R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.exe.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1. Створити код асемблерної програми в середовищі текстового редактора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Блокнот.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2. Виконати трансляцію створеної програми.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3. Проаналізувати лістинг програми, визначити поля лістингу, віднайти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відповідні сегменти програми, виправити помилки. У разі виявлення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помилок повторити трансляцію програми та отримати об’єктний модуль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програми.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4. Викликати компонувальника та отримати виконуваний модуль програми.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5. Запустити виконуваний модуль на виконання.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6. Скопіювати лістинг трансляції та результат роботи програми у командному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рядку у лабораторну роботу.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7. Результати надати викладачу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Результати роботи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GB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0" w:firstLineChars="150"/>
        <w:jc w:val="center"/>
        <w:textAlignment w:val="auto"/>
      </w:pPr>
      <w:r>
        <w:drawing>
          <wp:inline distT="0" distB="0" distL="114300" distR="114300">
            <wp:extent cx="2376805" cy="3336925"/>
            <wp:effectExtent l="0" t="0" r="635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(створений код)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5102225" cy="1097280"/>
            <wp:effectExtent l="0" t="0" r="317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rFonts w:hint="default"/>
          <w:rtl w:val="0"/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(трансляція програми)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30" w:firstLineChars="150"/>
        <w:jc w:val="center"/>
        <w:textAlignment w:val="auto"/>
      </w:pPr>
      <w:r>
        <w:drawing>
          <wp:inline distT="0" distB="0" distL="114300" distR="114300">
            <wp:extent cx="3432810" cy="3083560"/>
            <wp:effectExtent l="0" t="0" r="1143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(лістинг частина1)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3748405" cy="4468495"/>
            <wp:effectExtent l="0" t="0" r="635" b="1206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(лістинг частина2)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  <w:rPr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30" w:firstLineChars="150"/>
        <w:jc w:val="center"/>
        <w:textAlignment w:val="auto"/>
      </w:pPr>
      <w:r>
        <w:drawing>
          <wp:inline distT="0" distB="0" distL="114300" distR="114300">
            <wp:extent cx="4326890" cy="650240"/>
            <wp:effectExtent l="0" t="0" r="1270" b="508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50"/>
        <w:jc w:val="center"/>
        <w:textAlignment w:val="auto"/>
        <w:rPr>
          <w:rFonts w:hint="default"/>
          <w:rtl w:val="0"/>
          <w:lang w:val="uk-UA"/>
        </w:rPr>
      </w:pPr>
      <w:r>
        <w:t xml:space="preserve">Результат </w:t>
      </w:r>
      <w:r>
        <w:fldChar w:fldCharType="begin"/>
      </w:r>
      <w:r>
        <w:instrText xml:space="preserve"> SEQ Результат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(Створення та виконання об'єктного файла)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Висновок: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150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>В ході виконання лабораторної роботи №2 було ознайомлено з технологією роботи створення асемблерної програми. В ході виконання було створенно та трансльовано файл з кодом,  за допомогою компонувальника створено об’єктний файл, отримано та виконано модуль програми. В ході виконання роботи було виявлено та виправлено деяку кількість помилок.</w:t>
      </w:r>
    </w:p>
    <w:sectPr>
      <w:pgSz w:w="11909" w:h="16834"/>
      <w:pgMar w:top="567" w:right="567" w:bottom="567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831F60"/>
    <w:rsid w:val="0A4D24C7"/>
    <w:rsid w:val="0BC8297A"/>
    <w:rsid w:val="0ECD7B49"/>
    <w:rsid w:val="104D3658"/>
    <w:rsid w:val="16795357"/>
    <w:rsid w:val="1E2013A4"/>
    <w:rsid w:val="4FFE35F5"/>
    <w:rsid w:val="51AE1565"/>
    <w:rsid w:val="63AC46B2"/>
    <w:rsid w:val="68FC6BBD"/>
    <w:rsid w:val="73104F5B"/>
    <w:rsid w:val="752766D1"/>
    <w:rsid w:val="78233E89"/>
    <w:rsid w:val="79CE385E"/>
    <w:rsid w:val="7F107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2022-02-01T10:36:00Z</dcterms:created>
  <dc:creator>HeTIc</dc:creator>
  <cp:lastModifiedBy>HeTic</cp:lastModifiedBy>
  <dcterms:modified xsi:type="dcterms:W3CDTF">2022-05-26T18:35:35Z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E6F2BF9A5D994434A94A5C588677824F</vt:lpwstr>
  </property>
</Properties>
</file>