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en-US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en-US"/>
        </w:rPr>
        <w:t>3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hint="default"/>
          <w:lang w:val="en-US" w:eastAsia="zh-CN"/>
        </w:rPr>
        <w:t>Advanced Graphics in Python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6365" cy="3411220"/>
            <wp:effectExtent l="0" t="0" r="635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Mosaic Plot</w:t>
      </w:r>
    </w:p>
    <w:p>
      <w:pPr>
        <w:pStyle w:val="7"/>
        <w:spacing w:before="1"/>
        <w:ind w:right="172"/>
        <w:rPr>
          <w:b w:val="0"/>
          <w:bCs w:val="0"/>
          <w:i w:val="0"/>
          <w:iCs w:val="0"/>
          <w:color w:val="auto"/>
          <w:sz w:val="28"/>
          <w:szCs w:val="28"/>
          <w:lang w:val="en-US"/>
        </w:rPr>
      </w:pPr>
      <w:r>
        <w:rPr>
          <w:b w:val="0"/>
          <w:bCs w:val="0"/>
          <w:i w:val="0"/>
          <w:iCs w:val="0"/>
          <w:color w:val="auto"/>
          <w:sz w:val="28"/>
          <w:szCs w:val="28"/>
          <w:lang w:val="en-US"/>
        </w:rPr>
        <w:t>Переклад з англійської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lang w:val="en-US"/>
        </w:rPr>
        <w:t>-Мозаїчна діаграма, діаграма Марімекко, діаграма Мекко або іноді стовпчаста діаграма з відсотковим накопиченням — це графічна візуалізація даних двох або більше якісних змінних. Це багатовимірне розширення спінеплотів, які графічно відображають ту саму інформацію лише для однієї змінної.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0015" cy="3470275"/>
            <wp:effectExtent l="0" t="0" r="6985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Parallel Coordinate Plot</w:t>
      </w:r>
    </w:p>
    <w:p>
      <w:pPr>
        <w:pStyle w:val="7"/>
        <w:spacing w:before="1"/>
        <w:ind w:right="172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  <w:lang w:val="en-US"/>
        </w:rPr>
        <w:t>Паралельні координати є поширеним способом візуалізації та аналізу масивів даних великої розмірності.</w:t>
      </w:r>
    </w:p>
    <w:p>
      <w:pPr>
        <w:pStyle w:val="7"/>
        <w:spacing w:before="1"/>
        <w:ind w:right="172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  <w:lang w:val="en-US"/>
        </w:rPr>
        <w:t>Щоб показати набір точок у n-вимірному просторі, фон малюється з n паралельних ліній, як правило, вертикальних і рівновіддалених. Точка в n-вимірному просторі представляється у вигляді ламаної з вершинами на паралельних осях; положення вершини на і-й осі відповідає і-й координаті точки.</w:t>
      </w:r>
    </w:p>
    <w:p>
      <w:pPr>
        <w:pStyle w:val="7"/>
        <w:spacing w:before="1"/>
        <w:ind w:right="172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  <w:lang w:val="en-US"/>
        </w:rPr>
        <w:t>Ця візуалізація тісно пов’язана з візуалізацією часових рядів, за винятком того, що вона застосовується до даних, де осі не відповідають точкам часу, а тому не мають природного порядку. Тому можуть бути цікаві різні розташування осей</w:t>
      </w:r>
    </w:p>
    <w:p>
      <w:pPr>
        <w:pStyle w:val="7"/>
        <w:spacing w:before="1"/>
        <w:ind w:right="172"/>
        <w:rPr>
          <w:i w:val="0"/>
          <w:iCs w:val="0"/>
          <w:color w:val="auto"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68745" cy="1894840"/>
            <wp:effectExtent l="0" t="0" r="8255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Pixel Plot</w:t>
      </w:r>
    </w:p>
    <w:p>
      <w:pPr>
        <w:pStyle w:val="7"/>
        <w:spacing w:before="1"/>
        <w:ind w:right="172"/>
        <w:rPr>
          <w:i w:val="0"/>
          <w:iCs w:val="0"/>
          <w:sz w:val="28"/>
          <w:szCs w:val="28"/>
          <w:lang w:val="en-US"/>
        </w:rPr>
      </w:pPr>
      <w:r>
        <w:rPr>
          <w:i w:val="0"/>
          <w:iCs w:val="0"/>
          <w:sz w:val="28"/>
          <w:szCs w:val="28"/>
          <w:lang w:val="en-US"/>
        </w:rPr>
        <w:br w:type="textWrapping"/>
      </w:r>
      <w:r>
        <w:rPr>
          <w:i w:val="0"/>
          <w:iCs w:val="0"/>
          <w:color w:val="auto"/>
          <w:sz w:val="28"/>
          <w:szCs w:val="28"/>
          <w:lang w:val="en-US"/>
        </w:rPr>
        <w:t>Піксельні діаграми є представленням двовимірного набору даних. На цих графіках кожен піксель відноситься до іншого значення в наборі даних</w:t>
      </w:r>
    </w:p>
    <w:p>
      <w:pPr>
        <w:pStyle w:val="6"/>
        <w:spacing w:before="1"/>
        <w:ind w:right="172"/>
      </w:pPr>
      <w:r>
        <w:drawing>
          <wp:inline distT="0" distB="0" distL="114300" distR="114300">
            <wp:extent cx="6470015" cy="3300095"/>
            <wp:effectExtent l="0" t="0" r="6985" b="698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1"/>
        <w:ind w:right="172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en-US"/>
        </w:rPr>
        <w:t xml:space="preserve"> </w:t>
      </w:r>
      <w:r>
        <w:rPr>
          <w:rFonts w:hint="default"/>
          <w:lang w:val="en-US"/>
        </w:rPr>
        <w:t>Scatter Plot</w:t>
      </w:r>
    </w:p>
    <w:p>
      <w:pPr>
        <w:pStyle w:val="7"/>
        <w:spacing w:before="1"/>
        <w:ind w:right="172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  <w:lang w:val="en-US"/>
        </w:rPr>
        <w:t>Діаграма розсіювання — один з типів математичних діаграм, що використовує декартову систему координат для відображення значень двох змінних в наборі даних</w:t>
      </w:r>
    </w:p>
    <w:p>
      <w:r>
        <w:drawing>
          <wp:inline distT="0" distB="0" distL="114300" distR="114300">
            <wp:extent cx="6468745" cy="2932430"/>
            <wp:effectExtent l="0" t="0" r="8255" b="889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en-US"/>
        </w:rPr>
        <w:t xml:space="preserve"> WordCloud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Хмара слів — це набір або кластер слів, зображених різного розміру. Чим більшим і жирнішим є слово, тим частіше воно згадується в тексті й тим воно важливіше.</w:t>
      </w: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81A1F00"/>
    <w:rsid w:val="208F74AB"/>
    <w:rsid w:val="5F8C7B59"/>
    <w:rsid w:val="72221F81"/>
    <w:rsid w:val="784E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qFormat/>
    <w:uiPriority w:val="1"/>
    <w:pPr>
      <w:ind w:left="118" w:firstLine="707"/>
    </w:pPr>
  </w:style>
  <w:style w:type="paragraph" w:customStyle="1" w:styleId="12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1361</Words>
  <Characters>777</Characters>
  <Lines>6</Lines>
  <Paragraphs>4</Paragraphs>
  <TotalTime>5</TotalTime>
  <ScaleCrop>false</ScaleCrop>
  <LinksUpToDate>false</LinksUpToDate>
  <CharactersWithSpaces>2134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2024-03-18T01:57:42Z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B33229796ED54C6A977F5428F83EF6B2_12</vt:lpwstr>
  </property>
</Properties>
</file>