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Para facilitar a memorização, o professor pode contar quantos alunos possuem tendência a uma disciplina por fileira.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02187" cy="15021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187" cy="150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Tomando como cerne os alunos de matemática, têm-se que na primeira organização são 2, 3, 4, 2 e 3.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90587" cy="14905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587" cy="149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Com a chegada de novos alunos, a organização muda para 2, 4, 4, 2, 4 e 2.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4000" cy="155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5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Já na última observação pode se verificar que a organização é 2, 4, 4, 3, 3 e 2. Logo sabe-se que um aluno da penúltima fileira foi para a antepenúltima, fazendo a contagem, dos alunos que possuem tendência a português nas fileiras alteradas, percebe-se que a antepenúltima fileira perdeu um aluno de português e ganhou um de matemática.</w:t>
        <w:br w:type="textWrapping"/>
        <w:br w:type="textWrapping"/>
        <w:tab/>
        <w:t xml:space="preserve">Isto faz sentido no problema proposto? Sim, pois foi usada apenas a informação da quantidade de alunos que tendem a uma certa disciplina, onde a posição na fileira não importa, desde que ele esteja lá, sendo assim o professor precisa ter em mente uma pequena sequência de números.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