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AF6" w:rsidRDefault="00C57D26" w:rsidP="00F11E10">
      <w:pPr>
        <w:rPr>
          <w:rFonts w:ascii="Times" w:hAnsi="Times" w:cs="Times"/>
          <w:szCs w:val="28"/>
        </w:rPr>
      </w:pPr>
      <w:r w:rsidRPr="00675FD6">
        <w:rPr>
          <w:rFonts w:ascii="Times" w:hAnsi="Times" w:cs="Times"/>
          <w:szCs w:val="28"/>
        </w:rPr>
        <w:t>“We are all at risk of having a disability at some point in our lifetime,” said CDC Director Tom Frieden, M.D., M.P.H. “Health professionals and health care systems need to meet the needs of this growing population.”</w:t>
      </w:r>
    </w:p>
    <w:p w:rsidR="00C57D26" w:rsidRPr="004D3AF6" w:rsidRDefault="003351CD" w:rsidP="00675FD6">
      <w:pPr>
        <w:rPr>
          <w:b/>
          <w:sz w:val="20"/>
        </w:rPr>
      </w:pPr>
      <w:hyperlink r:id="rId5" w:history="1">
        <w:r w:rsidR="004D3AF6" w:rsidRPr="004D3AF6">
          <w:rPr>
            <w:rStyle w:val="Hyperlink"/>
            <w:b/>
            <w:sz w:val="20"/>
          </w:rPr>
          <w:t>https://www.cdc.gov/media/releases/2015/p0730-us-disability.html</w:t>
        </w:r>
      </w:hyperlink>
      <w:r w:rsidR="004D3AF6" w:rsidRPr="004D3AF6">
        <w:rPr>
          <w:b/>
          <w:sz w:val="20"/>
        </w:rPr>
        <w:t xml:space="preserve"> </w:t>
      </w:r>
    </w:p>
    <w:p w:rsidR="00F11E10" w:rsidRDefault="00F11E10" w:rsidP="00ED662E">
      <w:pPr>
        <w:jc w:val="center"/>
        <w:rPr>
          <w:b/>
        </w:rPr>
      </w:pPr>
    </w:p>
    <w:p w:rsidR="002547F7" w:rsidRDefault="002547F7" w:rsidP="00F11E10">
      <w:r>
        <w:t xml:space="preserve">1of 5 adults has a disability, the most common being a mobility limitation. </w:t>
      </w:r>
    </w:p>
    <w:p w:rsidR="002547F7" w:rsidRDefault="002547F7" w:rsidP="00F11E10"/>
    <w:p w:rsidR="00C57D26" w:rsidRPr="008D0F31" w:rsidRDefault="00F11E10" w:rsidP="008D0F31">
      <w:pPr>
        <w:rPr>
          <w:sz w:val="20"/>
        </w:rPr>
      </w:pPr>
      <w:r w:rsidRPr="008D0F31">
        <w:rPr>
          <w:sz w:val="20"/>
        </w:rPr>
        <w:t>In the United States, one out of every five adults has a disability, according to a new study published by the Centers for Disease Control and Prevention. The most common functional disability type was a mobility limitation – defined as serious difficulty walking or climbing stairs -- reported by one in eight adults, followed by disability in thinking and/or memory, independent living, vision, and self-care.</w:t>
      </w:r>
    </w:p>
    <w:p w:rsidR="004E375D" w:rsidRPr="00ED662E" w:rsidRDefault="004E375D" w:rsidP="00ED662E">
      <w:pPr>
        <w:jc w:val="center"/>
        <w:rPr>
          <w:b/>
        </w:rPr>
      </w:pPr>
      <w:r w:rsidRPr="00ED662E">
        <w:rPr>
          <w:b/>
        </w:rPr>
        <w:t>Mission of MARTA Mobility:</w:t>
      </w:r>
    </w:p>
    <w:p w:rsidR="004E375D" w:rsidRDefault="004E375D"/>
    <w:p w:rsidR="004E375D" w:rsidRDefault="004E375D" w:rsidP="004E375D">
      <w:r>
        <w:t xml:space="preserve">With the push for Atlanta to be the first Smart City and the outward push for diversity and inclusiveness, those with mobility issues are often not thought of, nor attended to – which by assisting with transportation may be able to get them more engaged in the community and give back. </w:t>
      </w:r>
    </w:p>
    <w:p w:rsidR="004E375D" w:rsidRDefault="004E375D"/>
    <w:p w:rsidR="00ED662E" w:rsidRPr="00ED662E" w:rsidRDefault="004E375D" w:rsidP="00ED662E">
      <w:pPr>
        <w:jc w:val="center"/>
        <w:rPr>
          <w:b/>
        </w:rPr>
      </w:pPr>
      <w:r w:rsidRPr="00ED662E">
        <w:rPr>
          <w:b/>
        </w:rPr>
        <w:t>Mission of MARTA Mobility Services:</w:t>
      </w:r>
    </w:p>
    <w:p w:rsidR="00ED662E" w:rsidRDefault="00ED662E"/>
    <w:p w:rsidR="00ED662E" w:rsidRPr="00ED662E" w:rsidRDefault="00ED662E" w:rsidP="00ED662E">
      <w:pPr>
        <w:widowControl w:val="0"/>
        <w:numPr>
          <w:ilvl w:val="0"/>
          <w:numId w:val="1"/>
        </w:numPr>
        <w:tabs>
          <w:tab w:val="left" w:pos="220"/>
          <w:tab w:val="left" w:pos="720"/>
        </w:tabs>
        <w:autoSpaceDE w:val="0"/>
        <w:autoSpaceDN w:val="0"/>
        <w:adjustRightInd w:val="0"/>
      </w:pPr>
      <w:r w:rsidRPr="00ED662E">
        <w:t>Is complementary paratransit service that o</w:t>
      </w:r>
      <w:r>
        <w:t xml:space="preserve">perates within the same service </w:t>
      </w:r>
      <w:r w:rsidRPr="00ED662E">
        <w:t>area as fixed route bus and rail services.</w:t>
      </w:r>
    </w:p>
    <w:p w:rsidR="00ED662E" w:rsidRPr="00ED662E" w:rsidRDefault="00ED662E" w:rsidP="00ED662E">
      <w:pPr>
        <w:widowControl w:val="0"/>
        <w:numPr>
          <w:ilvl w:val="0"/>
          <w:numId w:val="1"/>
        </w:numPr>
        <w:tabs>
          <w:tab w:val="left" w:pos="220"/>
          <w:tab w:val="left" w:pos="720"/>
        </w:tabs>
        <w:autoSpaceDE w:val="0"/>
        <w:autoSpaceDN w:val="0"/>
        <w:adjustRightInd w:val="0"/>
      </w:pPr>
      <w:r w:rsidRPr="00ED662E">
        <w:t>Makes public transit equally accessible for eligible individuals whose disabilities prevent them from getting to and from fixed route services or riding fixed route services.</w:t>
      </w:r>
    </w:p>
    <w:p w:rsidR="00ED662E" w:rsidRPr="00ED662E" w:rsidRDefault="00ED662E" w:rsidP="00ED662E">
      <w:pPr>
        <w:widowControl w:val="0"/>
        <w:numPr>
          <w:ilvl w:val="0"/>
          <w:numId w:val="1"/>
        </w:numPr>
        <w:tabs>
          <w:tab w:val="left" w:pos="220"/>
          <w:tab w:val="left" w:pos="720"/>
        </w:tabs>
        <w:autoSpaceDE w:val="0"/>
        <w:autoSpaceDN w:val="0"/>
        <w:adjustRightInd w:val="0"/>
      </w:pPr>
      <w:r w:rsidRPr="00ED662E">
        <w:t>Is a shared ride, advanced reservation mode of public transportation.</w:t>
      </w:r>
    </w:p>
    <w:p w:rsidR="00ED662E" w:rsidRPr="00ED662E" w:rsidRDefault="00ED662E" w:rsidP="00ED662E">
      <w:pPr>
        <w:widowControl w:val="0"/>
        <w:numPr>
          <w:ilvl w:val="0"/>
          <w:numId w:val="1"/>
        </w:numPr>
        <w:tabs>
          <w:tab w:val="left" w:pos="220"/>
          <w:tab w:val="left" w:pos="720"/>
        </w:tabs>
        <w:autoSpaceDE w:val="0"/>
        <w:autoSpaceDN w:val="0"/>
        <w:adjustRightInd w:val="0"/>
      </w:pPr>
      <w:r w:rsidRPr="00ED662E">
        <w:t>Operates on a curb-to-curb basis.</w:t>
      </w:r>
    </w:p>
    <w:p w:rsidR="00ED662E" w:rsidRDefault="00ED662E" w:rsidP="00ED662E">
      <w:pPr>
        <w:widowControl w:val="0"/>
        <w:numPr>
          <w:ilvl w:val="0"/>
          <w:numId w:val="1"/>
        </w:numPr>
        <w:tabs>
          <w:tab w:val="left" w:pos="220"/>
          <w:tab w:val="left" w:pos="720"/>
        </w:tabs>
        <w:autoSpaceDE w:val="0"/>
        <w:autoSpaceDN w:val="0"/>
        <w:adjustRightInd w:val="0"/>
      </w:pPr>
      <w:r w:rsidRPr="00ED662E">
        <w:t>It may also be used to transport customers to fixed route, bus, or rail stations (feeder service).</w:t>
      </w:r>
    </w:p>
    <w:p w:rsidR="00ED662E" w:rsidRDefault="00ED662E" w:rsidP="00ED662E">
      <w:pPr>
        <w:pStyle w:val="ListParagraph"/>
        <w:ind w:left="940"/>
      </w:pPr>
    </w:p>
    <w:p w:rsidR="00ED662E" w:rsidRPr="00ED662E" w:rsidRDefault="00ED662E" w:rsidP="00ED662E">
      <w:pPr>
        <w:pStyle w:val="ListParagraph"/>
        <w:ind w:left="1660" w:firstLine="500"/>
        <w:rPr>
          <w:b/>
        </w:rPr>
      </w:pPr>
      <w:r>
        <w:rPr>
          <w:b/>
        </w:rPr>
        <w:t>Is MARTA Currently Meeting Those Objectives To The Best of Their Abilities &amp; Areas of Improvement</w:t>
      </w:r>
      <w:r w:rsidRPr="00ED662E">
        <w:rPr>
          <w:b/>
        </w:rPr>
        <w:t>:</w:t>
      </w:r>
    </w:p>
    <w:p w:rsidR="00ED662E" w:rsidRDefault="00ED662E" w:rsidP="00ED662E">
      <w:pPr>
        <w:pStyle w:val="ListParagraph"/>
        <w:widowControl w:val="0"/>
        <w:numPr>
          <w:ilvl w:val="0"/>
          <w:numId w:val="2"/>
        </w:numPr>
        <w:tabs>
          <w:tab w:val="left" w:pos="220"/>
          <w:tab w:val="left" w:pos="720"/>
        </w:tabs>
        <w:autoSpaceDE w:val="0"/>
        <w:autoSpaceDN w:val="0"/>
        <w:adjustRightInd w:val="0"/>
      </w:pPr>
      <w:r>
        <w:t>Yes</w:t>
      </w:r>
    </w:p>
    <w:p w:rsidR="00ED662E" w:rsidRDefault="00ED662E" w:rsidP="00ED662E">
      <w:pPr>
        <w:pStyle w:val="ListParagraph"/>
        <w:widowControl w:val="0"/>
        <w:numPr>
          <w:ilvl w:val="0"/>
          <w:numId w:val="2"/>
        </w:numPr>
        <w:tabs>
          <w:tab w:val="left" w:pos="220"/>
          <w:tab w:val="left" w:pos="720"/>
        </w:tabs>
        <w:autoSpaceDE w:val="0"/>
        <w:autoSpaceDN w:val="0"/>
        <w:adjustRightInd w:val="0"/>
      </w:pPr>
      <w:r w:rsidRPr="00730522">
        <w:rPr>
          <w:highlight w:val="red"/>
        </w:rPr>
        <w:t>Somewhat</w:t>
      </w:r>
      <w:r>
        <w:t xml:space="preserve"> – however current features available for “regular” MARTA customers is not available for those using the Paratransit.</w:t>
      </w:r>
    </w:p>
    <w:p w:rsidR="00ED662E" w:rsidRDefault="00ED662E" w:rsidP="00ED662E">
      <w:pPr>
        <w:pStyle w:val="ListParagraph"/>
        <w:widowControl w:val="0"/>
        <w:numPr>
          <w:ilvl w:val="0"/>
          <w:numId w:val="2"/>
        </w:numPr>
        <w:tabs>
          <w:tab w:val="left" w:pos="220"/>
          <w:tab w:val="left" w:pos="720"/>
        </w:tabs>
        <w:autoSpaceDE w:val="0"/>
        <w:autoSpaceDN w:val="0"/>
        <w:adjustRightInd w:val="0"/>
      </w:pPr>
      <w:r w:rsidRPr="00730522">
        <w:rPr>
          <w:highlight w:val="yellow"/>
        </w:rPr>
        <w:t>Yes with Room for Improvement</w:t>
      </w:r>
      <w:r>
        <w:t xml:space="preserve"> – The current reservation and communication of status is outdated and can be improved using the MARTA Mobility App. </w:t>
      </w:r>
    </w:p>
    <w:p w:rsidR="00D56B2D" w:rsidRDefault="00ED662E" w:rsidP="00ED662E">
      <w:pPr>
        <w:pStyle w:val="ListParagraph"/>
        <w:widowControl w:val="0"/>
        <w:numPr>
          <w:ilvl w:val="0"/>
          <w:numId w:val="2"/>
        </w:numPr>
        <w:tabs>
          <w:tab w:val="left" w:pos="220"/>
          <w:tab w:val="left" w:pos="720"/>
        </w:tabs>
        <w:autoSpaceDE w:val="0"/>
        <w:autoSpaceDN w:val="0"/>
        <w:adjustRightInd w:val="0"/>
      </w:pPr>
      <w:r w:rsidRPr="00730522">
        <w:rPr>
          <w:highlight w:val="yellow"/>
        </w:rPr>
        <w:t>Yes with Room for Improvement</w:t>
      </w:r>
      <w:r>
        <w:t xml:space="preserve"> – curb-to-curb is available however can be improved upon using the MARTA Mobility App. </w:t>
      </w:r>
    </w:p>
    <w:p w:rsidR="00862B83" w:rsidRDefault="00D56B2D" w:rsidP="00ED662E">
      <w:pPr>
        <w:pStyle w:val="ListParagraph"/>
        <w:widowControl w:val="0"/>
        <w:numPr>
          <w:ilvl w:val="0"/>
          <w:numId w:val="2"/>
        </w:numPr>
        <w:tabs>
          <w:tab w:val="left" w:pos="220"/>
          <w:tab w:val="left" w:pos="720"/>
        </w:tabs>
        <w:autoSpaceDE w:val="0"/>
        <w:autoSpaceDN w:val="0"/>
        <w:adjustRightInd w:val="0"/>
      </w:pPr>
      <w:r w:rsidRPr="00730522">
        <w:rPr>
          <w:highlight w:val="yellow"/>
        </w:rPr>
        <w:t>Yes with Room for Improvement</w:t>
      </w:r>
      <w:r>
        <w:t xml:space="preserve"> – With the planned expansion of MARTA if these services are not emphasized and planning put in to keep up with the volume increases it may cause an issue. </w:t>
      </w:r>
    </w:p>
    <w:p w:rsidR="00862B83" w:rsidRDefault="00862B83" w:rsidP="00862B83">
      <w:pPr>
        <w:widowControl w:val="0"/>
        <w:tabs>
          <w:tab w:val="left" w:pos="220"/>
          <w:tab w:val="left" w:pos="720"/>
        </w:tabs>
        <w:autoSpaceDE w:val="0"/>
        <w:autoSpaceDN w:val="0"/>
        <w:adjustRightInd w:val="0"/>
      </w:pPr>
    </w:p>
    <w:p w:rsidR="00561759" w:rsidRDefault="00862B83" w:rsidP="00862B83">
      <w:pPr>
        <w:jc w:val="center"/>
        <w:rPr>
          <w:b/>
        </w:rPr>
      </w:pPr>
      <w:r>
        <w:rPr>
          <w:b/>
        </w:rPr>
        <w:t xml:space="preserve">What </w:t>
      </w:r>
      <w:proofErr w:type="gramStart"/>
      <w:r>
        <w:rPr>
          <w:b/>
        </w:rPr>
        <w:t>Does</w:t>
      </w:r>
      <w:proofErr w:type="gramEnd"/>
      <w:r>
        <w:rPr>
          <w:b/>
        </w:rPr>
        <w:t xml:space="preserve"> it Mean to Have a Disability and What is the Impact to Those With Mobility Issues</w:t>
      </w:r>
      <w:r w:rsidRPr="00ED662E">
        <w:rPr>
          <w:b/>
        </w:rPr>
        <w:t>:</w:t>
      </w:r>
    </w:p>
    <w:p w:rsidR="00561759" w:rsidRDefault="00561759" w:rsidP="00862B83">
      <w:pPr>
        <w:jc w:val="center"/>
        <w:rPr>
          <w:b/>
        </w:rPr>
      </w:pPr>
    </w:p>
    <w:p w:rsidR="00561759" w:rsidRDefault="00561759" w:rsidP="00862B83">
      <w:pPr>
        <w:jc w:val="center"/>
        <w:rPr>
          <w:b/>
        </w:rPr>
      </w:pPr>
    </w:p>
    <w:p w:rsidR="00862B83" w:rsidRPr="00ED662E" w:rsidRDefault="00862B83" w:rsidP="00862B83">
      <w:pPr>
        <w:jc w:val="center"/>
        <w:rPr>
          <w:b/>
        </w:rPr>
      </w:pPr>
    </w:p>
    <w:tbl>
      <w:tblPr>
        <w:tblStyle w:val="TableGrid"/>
        <w:tblW w:w="9198" w:type="dxa"/>
        <w:tblLook w:val="00BF"/>
      </w:tblPr>
      <w:tblGrid>
        <w:gridCol w:w="1703"/>
        <w:gridCol w:w="1703"/>
        <w:gridCol w:w="1922"/>
        <w:gridCol w:w="1890"/>
        <w:gridCol w:w="1980"/>
      </w:tblGrid>
      <w:tr w:rsidR="004D212F">
        <w:tc>
          <w:tcPr>
            <w:tcW w:w="1703" w:type="dxa"/>
            <w:shd w:val="clear" w:color="auto" w:fill="E0E0E0"/>
          </w:tcPr>
          <w:p w:rsidR="004D212F" w:rsidRDefault="004D212F" w:rsidP="004D212F">
            <w:pPr>
              <w:widowControl w:val="0"/>
              <w:tabs>
                <w:tab w:val="left" w:pos="220"/>
                <w:tab w:val="left" w:pos="720"/>
              </w:tabs>
              <w:autoSpaceDE w:val="0"/>
              <w:autoSpaceDN w:val="0"/>
              <w:adjustRightInd w:val="0"/>
            </w:pPr>
            <w:r>
              <w:t>County</w:t>
            </w:r>
          </w:p>
        </w:tc>
        <w:tc>
          <w:tcPr>
            <w:tcW w:w="1703" w:type="dxa"/>
            <w:shd w:val="clear" w:color="auto" w:fill="E0E0E0"/>
          </w:tcPr>
          <w:p w:rsidR="004D212F" w:rsidRDefault="004D212F" w:rsidP="004D212F">
            <w:pPr>
              <w:widowControl w:val="0"/>
              <w:tabs>
                <w:tab w:val="left" w:pos="220"/>
                <w:tab w:val="left" w:pos="720"/>
              </w:tabs>
              <w:autoSpaceDE w:val="0"/>
              <w:autoSpaceDN w:val="0"/>
              <w:adjustRightInd w:val="0"/>
            </w:pPr>
            <w:r>
              <w:t>Population</w:t>
            </w:r>
          </w:p>
        </w:tc>
        <w:tc>
          <w:tcPr>
            <w:tcW w:w="1922" w:type="dxa"/>
            <w:shd w:val="clear" w:color="auto" w:fill="E0E0E0"/>
          </w:tcPr>
          <w:p w:rsidR="004D212F" w:rsidRDefault="00847EF7" w:rsidP="004D212F">
            <w:pPr>
              <w:widowControl w:val="0"/>
              <w:tabs>
                <w:tab w:val="left" w:pos="220"/>
                <w:tab w:val="left" w:pos="720"/>
              </w:tabs>
              <w:autoSpaceDE w:val="0"/>
              <w:autoSpaceDN w:val="0"/>
              <w:adjustRightInd w:val="0"/>
            </w:pPr>
            <w:r>
              <w:t xml:space="preserve">Estimated </w:t>
            </w:r>
            <w:r w:rsidR="004D212F">
              <w:t>Population in Need of Service</w:t>
            </w:r>
          </w:p>
        </w:tc>
        <w:tc>
          <w:tcPr>
            <w:tcW w:w="1890" w:type="dxa"/>
            <w:shd w:val="clear" w:color="auto" w:fill="E0E0E0"/>
          </w:tcPr>
          <w:p w:rsidR="004D212F" w:rsidRDefault="004D212F" w:rsidP="004D212F">
            <w:pPr>
              <w:widowControl w:val="0"/>
              <w:tabs>
                <w:tab w:val="left" w:pos="220"/>
                <w:tab w:val="left" w:pos="720"/>
              </w:tabs>
              <w:autoSpaceDE w:val="0"/>
              <w:autoSpaceDN w:val="0"/>
              <w:adjustRightInd w:val="0"/>
            </w:pPr>
            <w:r>
              <w:t xml:space="preserve">Rate of Growth </w:t>
            </w:r>
            <w:r w:rsidR="00561759">
              <w:t>by 2040</w:t>
            </w:r>
          </w:p>
        </w:tc>
        <w:tc>
          <w:tcPr>
            <w:tcW w:w="1980" w:type="dxa"/>
            <w:shd w:val="clear" w:color="auto" w:fill="E0E0E0"/>
          </w:tcPr>
          <w:p w:rsidR="004D212F" w:rsidRDefault="00A40195" w:rsidP="004D212F">
            <w:pPr>
              <w:widowControl w:val="0"/>
              <w:tabs>
                <w:tab w:val="left" w:pos="220"/>
                <w:tab w:val="left" w:pos="720"/>
              </w:tabs>
              <w:autoSpaceDE w:val="0"/>
              <w:autoSpaceDN w:val="0"/>
              <w:adjustRightInd w:val="0"/>
            </w:pPr>
            <w:r>
              <w:t xml:space="preserve">Potential </w:t>
            </w:r>
            <w:r w:rsidR="004D212F">
              <w:t xml:space="preserve">Amount of Underserved Individuals </w:t>
            </w:r>
          </w:p>
        </w:tc>
      </w:tr>
      <w:tr w:rsidR="009E522F">
        <w:tc>
          <w:tcPr>
            <w:tcW w:w="1703" w:type="dxa"/>
          </w:tcPr>
          <w:p w:rsidR="009E522F" w:rsidRDefault="009E522F" w:rsidP="004D212F">
            <w:pPr>
              <w:widowControl w:val="0"/>
              <w:tabs>
                <w:tab w:val="left" w:pos="220"/>
                <w:tab w:val="left" w:pos="720"/>
              </w:tabs>
              <w:autoSpaceDE w:val="0"/>
              <w:autoSpaceDN w:val="0"/>
              <w:adjustRightInd w:val="0"/>
            </w:pPr>
            <w:r>
              <w:t>Clayton</w:t>
            </w:r>
          </w:p>
        </w:tc>
        <w:tc>
          <w:tcPr>
            <w:tcW w:w="1703" w:type="dxa"/>
          </w:tcPr>
          <w:p w:rsidR="009E522F" w:rsidRDefault="00082729" w:rsidP="00561759">
            <w:pPr>
              <w:widowControl w:val="0"/>
              <w:tabs>
                <w:tab w:val="left" w:pos="220"/>
                <w:tab w:val="left" w:pos="720"/>
              </w:tabs>
              <w:autoSpaceDE w:val="0"/>
              <w:autoSpaceDN w:val="0"/>
              <w:adjustRightInd w:val="0"/>
              <w:ind w:left="220"/>
            </w:pPr>
            <w:r w:rsidRPr="00082729">
              <w:t>267,542</w:t>
            </w:r>
          </w:p>
        </w:tc>
        <w:tc>
          <w:tcPr>
            <w:tcW w:w="1922" w:type="dxa"/>
          </w:tcPr>
          <w:p w:rsidR="009E522F" w:rsidRDefault="00847EF7" w:rsidP="00847EF7">
            <w:pPr>
              <w:widowControl w:val="0"/>
              <w:tabs>
                <w:tab w:val="left" w:pos="220"/>
                <w:tab w:val="left" w:pos="720"/>
              </w:tabs>
              <w:autoSpaceDE w:val="0"/>
              <w:autoSpaceDN w:val="0"/>
              <w:adjustRightInd w:val="0"/>
              <w:jc w:val="center"/>
            </w:pPr>
            <w:r>
              <w:t>53,508</w:t>
            </w:r>
          </w:p>
        </w:tc>
        <w:tc>
          <w:tcPr>
            <w:tcW w:w="1890" w:type="dxa"/>
          </w:tcPr>
          <w:p w:rsidR="009E522F" w:rsidRDefault="009E5A71" w:rsidP="004D212F">
            <w:pPr>
              <w:widowControl w:val="0"/>
              <w:tabs>
                <w:tab w:val="left" w:pos="220"/>
                <w:tab w:val="left" w:pos="720"/>
              </w:tabs>
              <w:autoSpaceDE w:val="0"/>
              <w:autoSpaceDN w:val="0"/>
              <w:adjustRightInd w:val="0"/>
            </w:pPr>
            <w:r>
              <w:t xml:space="preserve">20% </w:t>
            </w:r>
            <w:r w:rsidRPr="009E5A71">
              <w:rPr>
                <w:sz w:val="20"/>
              </w:rPr>
              <w:t>*</w:t>
            </w:r>
          </w:p>
        </w:tc>
        <w:tc>
          <w:tcPr>
            <w:tcW w:w="1980" w:type="dxa"/>
          </w:tcPr>
          <w:p w:rsidR="009E522F" w:rsidRDefault="00A40195" w:rsidP="00A43C68">
            <w:pPr>
              <w:widowControl w:val="0"/>
              <w:tabs>
                <w:tab w:val="left" w:pos="220"/>
                <w:tab w:val="left" w:pos="720"/>
              </w:tabs>
              <w:autoSpaceDE w:val="0"/>
              <w:autoSpaceDN w:val="0"/>
              <w:adjustRightInd w:val="0"/>
              <w:jc w:val="center"/>
            </w:pPr>
            <w:r>
              <w:t>64,210</w:t>
            </w:r>
          </w:p>
        </w:tc>
      </w:tr>
      <w:tr w:rsidR="004D212F">
        <w:tc>
          <w:tcPr>
            <w:tcW w:w="1703" w:type="dxa"/>
          </w:tcPr>
          <w:p w:rsidR="004D212F" w:rsidRDefault="00073856" w:rsidP="004D212F">
            <w:pPr>
              <w:widowControl w:val="0"/>
              <w:tabs>
                <w:tab w:val="left" w:pos="220"/>
                <w:tab w:val="left" w:pos="720"/>
              </w:tabs>
              <w:autoSpaceDE w:val="0"/>
              <w:autoSpaceDN w:val="0"/>
              <w:adjustRightInd w:val="0"/>
            </w:pPr>
            <w:r>
              <w:t xml:space="preserve">DeKalb </w:t>
            </w:r>
          </w:p>
        </w:tc>
        <w:tc>
          <w:tcPr>
            <w:tcW w:w="1703" w:type="dxa"/>
          </w:tcPr>
          <w:p w:rsidR="004D212F" w:rsidRDefault="00E261EF" w:rsidP="00082729">
            <w:pPr>
              <w:widowControl w:val="0"/>
              <w:tabs>
                <w:tab w:val="left" w:pos="220"/>
                <w:tab w:val="left" w:pos="720"/>
              </w:tabs>
              <w:autoSpaceDE w:val="0"/>
              <w:autoSpaceDN w:val="0"/>
              <w:adjustRightInd w:val="0"/>
              <w:jc w:val="center"/>
            </w:pPr>
            <w:r>
              <w:t xml:space="preserve">716,331 </w:t>
            </w:r>
            <w:r w:rsidRPr="00882B7B">
              <w:rPr>
                <w:sz w:val="20"/>
              </w:rPr>
              <w:t>*</w:t>
            </w:r>
            <w:r w:rsidR="00882B7B" w:rsidRPr="00882B7B">
              <w:rPr>
                <w:sz w:val="20"/>
              </w:rPr>
              <w:t>*</w:t>
            </w:r>
          </w:p>
        </w:tc>
        <w:tc>
          <w:tcPr>
            <w:tcW w:w="1922" w:type="dxa"/>
          </w:tcPr>
          <w:p w:rsidR="004D212F" w:rsidRDefault="00847EF7" w:rsidP="00847EF7">
            <w:pPr>
              <w:widowControl w:val="0"/>
              <w:tabs>
                <w:tab w:val="left" w:pos="220"/>
                <w:tab w:val="left" w:pos="720"/>
              </w:tabs>
              <w:autoSpaceDE w:val="0"/>
              <w:autoSpaceDN w:val="0"/>
              <w:adjustRightInd w:val="0"/>
              <w:jc w:val="center"/>
            </w:pPr>
            <w:r>
              <w:t>143,266</w:t>
            </w:r>
          </w:p>
        </w:tc>
        <w:tc>
          <w:tcPr>
            <w:tcW w:w="1890" w:type="dxa"/>
          </w:tcPr>
          <w:p w:rsidR="004D212F" w:rsidRDefault="00F6201E" w:rsidP="004D212F">
            <w:pPr>
              <w:widowControl w:val="0"/>
              <w:tabs>
                <w:tab w:val="left" w:pos="220"/>
                <w:tab w:val="left" w:pos="720"/>
              </w:tabs>
              <w:autoSpaceDE w:val="0"/>
              <w:autoSpaceDN w:val="0"/>
              <w:adjustRightInd w:val="0"/>
            </w:pPr>
            <w:r>
              <w:t>17%</w:t>
            </w:r>
          </w:p>
        </w:tc>
        <w:tc>
          <w:tcPr>
            <w:tcW w:w="1980" w:type="dxa"/>
          </w:tcPr>
          <w:p w:rsidR="004D212F" w:rsidRDefault="00A40195" w:rsidP="00A43C68">
            <w:pPr>
              <w:widowControl w:val="0"/>
              <w:tabs>
                <w:tab w:val="left" w:pos="220"/>
                <w:tab w:val="left" w:pos="720"/>
              </w:tabs>
              <w:autoSpaceDE w:val="0"/>
              <w:autoSpaceDN w:val="0"/>
              <w:adjustRightInd w:val="0"/>
              <w:jc w:val="center"/>
            </w:pPr>
            <w:r>
              <w:t>167,</w:t>
            </w:r>
            <w:r w:rsidR="008039C2">
              <w:t>621</w:t>
            </w:r>
          </w:p>
        </w:tc>
      </w:tr>
      <w:tr w:rsidR="004D212F">
        <w:tc>
          <w:tcPr>
            <w:tcW w:w="1703" w:type="dxa"/>
          </w:tcPr>
          <w:p w:rsidR="004D212F" w:rsidRDefault="009E522F" w:rsidP="004D212F">
            <w:pPr>
              <w:widowControl w:val="0"/>
              <w:tabs>
                <w:tab w:val="left" w:pos="220"/>
                <w:tab w:val="left" w:pos="720"/>
              </w:tabs>
              <w:autoSpaceDE w:val="0"/>
              <w:autoSpaceDN w:val="0"/>
              <w:adjustRightInd w:val="0"/>
            </w:pPr>
            <w:r>
              <w:t xml:space="preserve">Fulton </w:t>
            </w:r>
          </w:p>
        </w:tc>
        <w:tc>
          <w:tcPr>
            <w:tcW w:w="1703" w:type="dxa"/>
          </w:tcPr>
          <w:p w:rsidR="004D212F" w:rsidRDefault="00882B7B" w:rsidP="00082729">
            <w:pPr>
              <w:widowControl w:val="0"/>
              <w:tabs>
                <w:tab w:val="left" w:pos="220"/>
                <w:tab w:val="left" w:pos="720"/>
              </w:tabs>
              <w:autoSpaceDE w:val="0"/>
              <w:autoSpaceDN w:val="0"/>
              <w:adjustRightInd w:val="0"/>
              <w:jc w:val="center"/>
            </w:pPr>
            <w:r>
              <w:t xml:space="preserve">983,903 </w:t>
            </w:r>
            <w:r w:rsidRPr="00882B7B">
              <w:rPr>
                <w:sz w:val="22"/>
              </w:rPr>
              <w:t>**</w:t>
            </w:r>
          </w:p>
        </w:tc>
        <w:tc>
          <w:tcPr>
            <w:tcW w:w="1922" w:type="dxa"/>
          </w:tcPr>
          <w:p w:rsidR="004D212F" w:rsidRDefault="00847EF7" w:rsidP="00847EF7">
            <w:pPr>
              <w:widowControl w:val="0"/>
              <w:tabs>
                <w:tab w:val="left" w:pos="220"/>
                <w:tab w:val="left" w:pos="720"/>
              </w:tabs>
              <w:autoSpaceDE w:val="0"/>
              <w:autoSpaceDN w:val="0"/>
              <w:adjustRightInd w:val="0"/>
              <w:jc w:val="center"/>
            </w:pPr>
            <w:r>
              <w:t>196,781</w:t>
            </w:r>
          </w:p>
        </w:tc>
        <w:tc>
          <w:tcPr>
            <w:tcW w:w="1890" w:type="dxa"/>
          </w:tcPr>
          <w:p w:rsidR="004D212F" w:rsidRDefault="006679CB" w:rsidP="004D212F">
            <w:pPr>
              <w:widowControl w:val="0"/>
              <w:tabs>
                <w:tab w:val="left" w:pos="220"/>
                <w:tab w:val="left" w:pos="720"/>
              </w:tabs>
              <w:autoSpaceDE w:val="0"/>
              <w:autoSpaceDN w:val="0"/>
              <w:adjustRightInd w:val="0"/>
            </w:pPr>
            <w:r>
              <w:t>28%</w:t>
            </w:r>
          </w:p>
        </w:tc>
        <w:tc>
          <w:tcPr>
            <w:tcW w:w="1980" w:type="dxa"/>
          </w:tcPr>
          <w:p w:rsidR="004D212F" w:rsidRDefault="00A43C68" w:rsidP="00A43C68">
            <w:pPr>
              <w:widowControl w:val="0"/>
              <w:tabs>
                <w:tab w:val="left" w:pos="220"/>
                <w:tab w:val="left" w:pos="720"/>
              </w:tabs>
              <w:autoSpaceDE w:val="0"/>
              <w:autoSpaceDN w:val="0"/>
              <w:adjustRightInd w:val="0"/>
              <w:jc w:val="center"/>
            </w:pPr>
            <w:r>
              <w:t>251,879</w:t>
            </w:r>
          </w:p>
        </w:tc>
      </w:tr>
    </w:tbl>
    <w:p w:rsidR="00E261EF" w:rsidRDefault="00E261EF" w:rsidP="00E261EF">
      <w:pPr>
        <w:widowControl w:val="0"/>
        <w:tabs>
          <w:tab w:val="left" w:pos="220"/>
          <w:tab w:val="left" w:pos="720"/>
        </w:tabs>
        <w:autoSpaceDE w:val="0"/>
        <w:autoSpaceDN w:val="0"/>
        <w:adjustRightInd w:val="0"/>
      </w:pPr>
      <w:r>
        <w:t>*</w:t>
      </w:r>
      <w:r w:rsidR="009E5A71">
        <w:t xml:space="preserve"> Estimated </w:t>
      </w:r>
      <w:hyperlink r:id="rId6" w:history="1">
        <w:r w:rsidR="003C4E58" w:rsidRPr="004D52E2">
          <w:rPr>
            <w:rStyle w:val="Hyperlink"/>
          </w:rPr>
          <w:t>https://news.atlantaregional.com/atlanta-population-change-surprising-ways-2040/</w:t>
        </w:r>
      </w:hyperlink>
      <w:r w:rsidR="003C4E58">
        <w:t xml:space="preserve"> </w:t>
      </w:r>
    </w:p>
    <w:p w:rsidR="00E261EF" w:rsidRDefault="00E261EF" w:rsidP="00E261EF">
      <w:pPr>
        <w:widowControl w:val="0"/>
        <w:tabs>
          <w:tab w:val="left" w:pos="220"/>
          <w:tab w:val="left" w:pos="720"/>
        </w:tabs>
        <w:autoSpaceDE w:val="0"/>
        <w:autoSpaceDN w:val="0"/>
        <w:adjustRightInd w:val="0"/>
      </w:pPr>
      <w:r>
        <w:t xml:space="preserve">** DeKalb County Demographics – 2016 </w:t>
      </w:r>
    </w:p>
    <w:p w:rsidR="00F0408B" w:rsidRDefault="00F0408B" w:rsidP="00E261EF">
      <w:pPr>
        <w:widowControl w:val="0"/>
        <w:tabs>
          <w:tab w:val="left" w:pos="220"/>
          <w:tab w:val="left" w:pos="720"/>
        </w:tabs>
        <w:autoSpaceDE w:val="0"/>
        <w:autoSpaceDN w:val="0"/>
        <w:adjustRightInd w:val="0"/>
      </w:pPr>
    </w:p>
    <w:p w:rsidR="00297638" w:rsidRDefault="00974CD8" w:rsidP="00E261EF">
      <w:pPr>
        <w:widowControl w:val="0"/>
        <w:tabs>
          <w:tab w:val="left" w:pos="220"/>
          <w:tab w:val="left" w:pos="720"/>
        </w:tabs>
        <w:autoSpaceDE w:val="0"/>
        <w:autoSpaceDN w:val="0"/>
        <w:adjustRightInd w:val="0"/>
      </w:pPr>
      <w:r>
        <w:t>An average of 20</w:t>
      </w:r>
      <w:r w:rsidR="00FD2841">
        <w:t xml:space="preserve">% of the individuals in the three counties that Marta Mobility services now are </w:t>
      </w:r>
      <w:r w:rsidR="00297638">
        <w:t>disabled</w:t>
      </w:r>
      <w:r w:rsidR="00FD2841">
        <w:t xml:space="preserve">, and there will be an estimated 22% growth in population in those areas by 2040. </w:t>
      </w:r>
    </w:p>
    <w:p w:rsidR="00297638" w:rsidRDefault="00297638" w:rsidP="00E261EF">
      <w:pPr>
        <w:widowControl w:val="0"/>
        <w:tabs>
          <w:tab w:val="left" w:pos="220"/>
          <w:tab w:val="left" w:pos="720"/>
        </w:tabs>
        <w:autoSpaceDE w:val="0"/>
        <w:autoSpaceDN w:val="0"/>
        <w:adjustRightInd w:val="0"/>
      </w:pPr>
    </w:p>
    <w:p w:rsidR="00F0408B" w:rsidRDefault="00F0408B" w:rsidP="00E261EF">
      <w:pPr>
        <w:widowControl w:val="0"/>
        <w:tabs>
          <w:tab w:val="left" w:pos="220"/>
          <w:tab w:val="left" w:pos="720"/>
        </w:tabs>
        <w:autoSpaceDE w:val="0"/>
        <w:autoSpaceDN w:val="0"/>
        <w:adjustRightInd w:val="0"/>
      </w:pPr>
    </w:p>
    <w:p w:rsidR="00F0408B" w:rsidRPr="00F0408B" w:rsidRDefault="00F0408B" w:rsidP="00F0408B">
      <w:pPr>
        <w:jc w:val="center"/>
        <w:rPr>
          <w:b/>
        </w:rPr>
      </w:pPr>
      <w:r w:rsidRPr="00F0408B">
        <w:rPr>
          <w:b/>
        </w:rPr>
        <w:t xml:space="preserve">What are the Operational Ramifications of Expanding the Marta Mobility Services by Implementing the Mobility App?: </w:t>
      </w:r>
    </w:p>
    <w:p w:rsidR="00E35D70" w:rsidRDefault="00E35D70" w:rsidP="00246E24">
      <w:pPr>
        <w:pStyle w:val="ListParagraph"/>
        <w:widowControl w:val="0"/>
        <w:numPr>
          <w:ilvl w:val="0"/>
          <w:numId w:val="4"/>
        </w:numPr>
        <w:tabs>
          <w:tab w:val="left" w:pos="220"/>
          <w:tab w:val="left" w:pos="720"/>
        </w:tabs>
        <w:autoSpaceDE w:val="0"/>
        <w:autoSpaceDN w:val="0"/>
        <w:adjustRightInd w:val="0"/>
      </w:pPr>
      <w:r>
        <w:t>HIPPA Violation - $10</w:t>
      </w:r>
      <w:r w:rsidR="00F2228A">
        <w:t>,000</w:t>
      </w:r>
      <w:r>
        <w:t xml:space="preserve">-50,000 per violation </w:t>
      </w:r>
    </w:p>
    <w:p w:rsidR="00E35D70" w:rsidRPr="00246E24" w:rsidRDefault="00E35D70" w:rsidP="00E35D70">
      <w:pPr>
        <w:pStyle w:val="ListParagraph"/>
        <w:widowControl w:val="0"/>
        <w:numPr>
          <w:ilvl w:val="1"/>
          <w:numId w:val="4"/>
        </w:numPr>
        <w:tabs>
          <w:tab w:val="left" w:pos="220"/>
          <w:tab w:val="left" w:pos="720"/>
        </w:tabs>
        <w:autoSpaceDE w:val="0"/>
        <w:autoSpaceDN w:val="0"/>
        <w:adjustRightInd w:val="0"/>
        <w:rPr>
          <w:b/>
          <w:i/>
        </w:rPr>
      </w:pPr>
      <w:r w:rsidRPr="00246E24">
        <w:rPr>
          <w:b/>
          <w:i/>
        </w:rPr>
        <w:t>Most Common HIPPA Violation</w:t>
      </w:r>
      <w:r w:rsidR="0000400C">
        <w:rPr>
          <w:b/>
          <w:i/>
        </w:rPr>
        <w:t>s</w:t>
      </w:r>
      <w:r w:rsidRPr="00246E24">
        <w:rPr>
          <w:b/>
          <w:i/>
        </w:rPr>
        <w:t xml:space="preserve"> that could occur: </w:t>
      </w:r>
    </w:p>
    <w:p w:rsidR="00E35D70" w:rsidRPr="00E35D70" w:rsidRDefault="00E35D70" w:rsidP="000735C3">
      <w:pPr>
        <w:pStyle w:val="ListParagraph"/>
        <w:widowControl w:val="0"/>
        <w:numPr>
          <w:ilvl w:val="3"/>
          <w:numId w:val="7"/>
        </w:numPr>
        <w:tabs>
          <w:tab w:val="left" w:pos="220"/>
          <w:tab w:val="left" w:pos="720"/>
        </w:tabs>
        <w:autoSpaceDE w:val="0"/>
        <w:autoSpaceDN w:val="0"/>
        <w:adjustRightInd w:val="0"/>
        <w:ind w:left="1800"/>
      </w:pPr>
      <w:r w:rsidRPr="00246E24">
        <w:rPr>
          <w:b/>
        </w:rPr>
        <w:t>Missing patient signature</w:t>
      </w:r>
      <w:r w:rsidRPr="00E35D70">
        <w:t xml:space="preserve"> - Any HIPAA forms without the patient’s signature is invalid, so releasing information would be a violation.</w:t>
      </w:r>
    </w:p>
    <w:p w:rsidR="00E35D70" w:rsidRPr="00E35D70" w:rsidRDefault="00E35D70" w:rsidP="000735C3">
      <w:pPr>
        <w:pStyle w:val="ListParagraph"/>
        <w:widowControl w:val="0"/>
        <w:numPr>
          <w:ilvl w:val="3"/>
          <w:numId w:val="7"/>
        </w:numPr>
        <w:tabs>
          <w:tab w:val="left" w:pos="220"/>
          <w:tab w:val="left" w:pos="720"/>
        </w:tabs>
        <w:autoSpaceDE w:val="0"/>
        <w:autoSpaceDN w:val="0"/>
        <w:adjustRightInd w:val="0"/>
        <w:ind w:left="1800"/>
      </w:pPr>
      <w:r w:rsidRPr="00246E24">
        <w:rPr>
          <w:b/>
        </w:rPr>
        <w:t>Releasing information to an undesignated party</w:t>
      </w:r>
      <w:r w:rsidRPr="00E35D70">
        <w:t xml:space="preserve"> - Only the exact person listed on the authorization form may receive patient information.</w:t>
      </w:r>
    </w:p>
    <w:p w:rsidR="00E35D70" w:rsidRPr="00E35D70" w:rsidRDefault="00E35D70" w:rsidP="000735C3">
      <w:pPr>
        <w:pStyle w:val="ListParagraph"/>
        <w:widowControl w:val="0"/>
        <w:numPr>
          <w:ilvl w:val="3"/>
          <w:numId w:val="7"/>
        </w:numPr>
        <w:tabs>
          <w:tab w:val="left" w:pos="220"/>
          <w:tab w:val="left" w:pos="720"/>
        </w:tabs>
        <w:autoSpaceDE w:val="0"/>
        <w:autoSpaceDN w:val="0"/>
        <w:adjustRightInd w:val="0"/>
        <w:ind w:left="1800"/>
      </w:pPr>
      <w:r w:rsidRPr="00246E24">
        <w:rPr>
          <w:b/>
        </w:rPr>
        <w:t>Releasing unauthorized health information</w:t>
      </w:r>
      <w:r w:rsidRPr="00E35D70">
        <w:t xml:space="preserve"> - This refers to releasing the wrong document that has not been approved for release. A patient has the right to release only parts of their medical record.</w:t>
      </w:r>
    </w:p>
    <w:p w:rsidR="00E35D70" w:rsidRPr="00E35D70" w:rsidRDefault="00E35D70" w:rsidP="000735C3">
      <w:pPr>
        <w:pStyle w:val="ListParagraph"/>
        <w:widowControl w:val="0"/>
        <w:numPr>
          <w:ilvl w:val="3"/>
          <w:numId w:val="7"/>
        </w:numPr>
        <w:tabs>
          <w:tab w:val="left" w:pos="220"/>
          <w:tab w:val="left" w:pos="720"/>
        </w:tabs>
        <w:autoSpaceDE w:val="0"/>
        <w:autoSpaceDN w:val="0"/>
        <w:adjustRightInd w:val="0"/>
        <w:ind w:left="1800"/>
      </w:pPr>
      <w:r w:rsidRPr="00246E24">
        <w:rPr>
          <w:b/>
        </w:rPr>
        <w:t>Releasing wrong patient's information</w:t>
      </w:r>
      <w:r w:rsidRPr="00E35D70">
        <w:t xml:space="preserve"> - Through a careless mistake, someone releases information to the wrong patient. This sometimes happens when two patients have the same or similar name.</w:t>
      </w:r>
    </w:p>
    <w:p w:rsidR="00E35D70" w:rsidRPr="00E35D70" w:rsidRDefault="00E35D70" w:rsidP="000735C3">
      <w:pPr>
        <w:pStyle w:val="ListParagraph"/>
        <w:widowControl w:val="0"/>
        <w:numPr>
          <w:ilvl w:val="3"/>
          <w:numId w:val="7"/>
        </w:numPr>
        <w:tabs>
          <w:tab w:val="left" w:pos="220"/>
          <w:tab w:val="left" w:pos="720"/>
        </w:tabs>
        <w:autoSpaceDE w:val="0"/>
        <w:autoSpaceDN w:val="0"/>
        <w:adjustRightInd w:val="0"/>
        <w:ind w:left="1800"/>
      </w:pPr>
      <w:r w:rsidRPr="00246E24">
        <w:rPr>
          <w:b/>
        </w:rPr>
        <w:t>Right to revoke clause</w:t>
      </w:r>
      <w:r w:rsidRPr="00E35D70">
        <w:t xml:space="preserve"> - Any forms a patient signs need to have a Right to Revoke clause or the form is invalid. Therefore, any information released to a third party would be in violation of HIPAA regulations.</w:t>
      </w:r>
    </w:p>
    <w:p w:rsidR="00E35D70" w:rsidRPr="00E35D70" w:rsidRDefault="00E35D70" w:rsidP="000735C3">
      <w:pPr>
        <w:pStyle w:val="ListParagraph"/>
        <w:widowControl w:val="0"/>
        <w:numPr>
          <w:ilvl w:val="3"/>
          <w:numId w:val="7"/>
        </w:numPr>
        <w:tabs>
          <w:tab w:val="left" w:pos="220"/>
          <w:tab w:val="left" w:pos="720"/>
        </w:tabs>
        <w:autoSpaceDE w:val="0"/>
        <w:autoSpaceDN w:val="0"/>
        <w:adjustRightInd w:val="0"/>
        <w:ind w:left="1800"/>
      </w:pPr>
      <w:r w:rsidRPr="00246E24">
        <w:rPr>
          <w:b/>
        </w:rPr>
        <w:t>Unprotected storage of private health information</w:t>
      </w:r>
      <w:r w:rsidRPr="00E35D70">
        <w:t xml:space="preserve"> - A good example of this is a laptop that is stolen. Private information stored electronically needs to be stored on a secure device. This applies to a laptop, thumbnail drive, or any other mobile device.</w:t>
      </w:r>
    </w:p>
    <w:p w:rsidR="00360AA7" w:rsidRDefault="00EC246D" w:rsidP="00360AA7">
      <w:pPr>
        <w:pStyle w:val="ListParagraph"/>
        <w:widowControl w:val="0"/>
        <w:numPr>
          <w:ilvl w:val="0"/>
          <w:numId w:val="4"/>
        </w:numPr>
        <w:tabs>
          <w:tab w:val="left" w:pos="220"/>
          <w:tab w:val="left" w:pos="720"/>
        </w:tabs>
        <w:autoSpaceDE w:val="0"/>
        <w:autoSpaceDN w:val="0"/>
        <w:adjustRightInd w:val="0"/>
      </w:pPr>
      <w:r w:rsidRPr="00EC246D">
        <w:rPr>
          <w:highlight w:val="yellow"/>
        </w:rPr>
        <w:t>How to</w:t>
      </w:r>
      <w:r w:rsidR="00E74AE6">
        <w:rPr>
          <w:highlight w:val="yellow"/>
        </w:rPr>
        <w:t xml:space="preserve"> potentially</w:t>
      </w:r>
      <w:r w:rsidRPr="00EC246D">
        <w:rPr>
          <w:highlight w:val="yellow"/>
        </w:rPr>
        <w:t xml:space="preserve"> mitigate </w:t>
      </w:r>
      <w:r w:rsidRPr="00EC246D">
        <w:rPr>
          <w:highlight w:val="yellow"/>
        </w:rPr>
        <w:sym w:font="Wingdings" w:char="F0E0"/>
      </w:r>
      <w:r w:rsidR="00857A2D">
        <w:t xml:space="preserve"> </w:t>
      </w:r>
    </w:p>
    <w:p w:rsidR="00360AA7" w:rsidRPr="00360AA7" w:rsidRDefault="00857A2D" w:rsidP="00360AA7">
      <w:pPr>
        <w:pStyle w:val="ListParagraph"/>
        <w:widowControl w:val="0"/>
        <w:numPr>
          <w:ilvl w:val="1"/>
          <w:numId w:val="4"/>
        </w:numPr>
        <w:tabs>
          <w:tab w:val="left" w:pos="220"/>
          <w:tab w:val="left" w:pos="720"/>
        </w:tabs>
        <w:autoSpaceDE w:val="0"/>
        <w:autoSpaceDN w:val="0"/>
        <w:adjustRightInd w:val="0"/>
      </w:pPr>
      <w:r w:rsidRPr="006440F3">
        <w:rPr>
          <w:highlight w:val="lightGray"/>
        </w:rPr>
        <w:t xml:space="preserve">Add language similar to EEOC, employment applications dealing with disabled individuals.  </w:t>
      </w:r>
    </w:p>
    <w:p w:rsidR="00857A2D" w:rsidRDefault="00857A2D" w:rsidP="00360AA7">
      <w:pPr>
        <w:pStyle w:val="ListParagraph"/>
        <w:widowControl w:val="0"/>
        <w:numPr>
          <w:ilvl w:val="1"/>
          <w:numId w:val="4"/>
        </w:numPr>
        <w:tabs>
          <w:tab w:val="left" w:pos="220"/>
          <w:tab w:val="left" w:pos="720"/>
        </w:tabs>
        <w:autoSpaceDE w:val="0"/>
        <w:autoSpaceDN w:val="0"/>
        <w:adjustRightInd w:val="0"/>
      </w:pPr>
      <w:r w:rsidRPr="006440F3">
        <w:rPr>
          <w:highlight w:val="lightGray"/>
        </w:rPr>
        <w:t>Also language can be added via the Terms &amp; Conditions when the individuals downloads and signs up for the app.</w:t>
      </w:r>
      <w:r>
        <w:t xml:space="preserve"> </w:t>
      </w:r>
    </w:p>
    <w:p w:rsidR="00857A2D" w:rsidRDefault="00857A2D" w:rsidP="00C23F0A">
      <w:pPr>
        <w:pStyle w:val="ListParagraph"/>
        <w:widowControl w:val="0"/>
        <w:tabs>
          <w:tab w:val="left" w:pos="220"/>
          <w:tab w:val="left" w:pos="720"/>
        </w:tabs>
        <w:autoSpaceDE w:val="0"/>
        <w:autoSpaceDN w:val="0"/>
        <w:adjustRightInd w:val="0"/>
      </w:pPr>
    </w:p>
    <w:p w:rsidR="00E35D70" w:rsidRDefault="00E35D70" w:rsidP="00C23F0A">
      <w:pPr>
        <w:pStyle w:val="ListParagraph"/>
        <w:widowControl w:val="0"/>
        <w:tabs>
          <w:tab w:val="left" w:pos="220"/>
          <w:tab w:val="left" w:pos="720"/>
        </w:tabs>
        <w:autoSpaceDE w:val="0"/>
        <w:autoSpaceDN w:val="0"/>
        <w:adjustRightInd w:val="0"/>
      </w:pPr>
    </w:p>
    <w:p w:rsidR="00E35D70" w:rsidRDefault="00E529E1" w:rsidP="002C28D7">
      <w:pPr>
        <w:pStyle w:val="ListParagraph"/>
        <w:widowControl w:val="0"/>
        <w:numPr>
          <w:ilvl w:val="0"/>
          <w:numId w:val="4"/>
        </w:numPr>
        <w:tabs>
          <w:tab w:val="left" w:pos="220"/>
          <w:tab w:val="left" w:pos="720"/>
        </w:tabs>
        <w:autoSpaceDE w:val="0"/>
        <w:autoSpaceDN w:val="0"/>
        <w:adjustRightInd w:val="0"/>
      </w:pPr>
      <w:r>
        <w:t>PCI/</w:t>
      </w:r>
      <w:r w:rsidR="00E35D70">
        <w:t>PII</w:t>
      </w:r>
      <w:r w:rsidR="00F70756">
        <w:t xml:space="preserve"> (also PHI)</w:t>
      </w:r>
      <w:r w:rsidR="00F2228A">
        <w:t xml:space="preserve"> Violations</w:t>
      </w:r>
      <w:r>
        <w:t>- $10</w:t>
      </w:r>
      <w:r w:rsidR="00F2228A">
        <w:t>,000</w:t>
      </w:r>
      <w:r>
        <w:t xml:space="preserve"> -$100,000 a month </w:t>
      </w:r>
    </w:p>
    <w:p w:rsidR="00163A00" w:rsidRDefault="00163A00" w:rsidP="005B4274">
      <w:pPr>
        <w:pStyle w:val="ListParagraph"/>
        <w:widowControl w:val="0"/>
        <w:numPr>
          <w:ilvl w:val="1"/>
          <w:numId w:val="4"/>
        </w:numPr>
        <w:tabs>
          <w:tab w:val="left" w:pos="220"/>
          <w:tab w:val="left" w:pos="720"/>
        </w:tabs>
        <w:autoSpaceDE w:val="0"/>
        <w:autoSpaceDN w:val="0"/>
        <w:adjustRightInd w:val="0"/>
      </w:pPr>
      <w:r w:rsidRPr="00F2228A">
        <w:rPr>
          <w:b/>
        </w:rPr>
        <w:t>PCI and/or PII Violations</w:t>
      </w:r>
      <w:r>
        <w:t xml:space="preserve"> could occur from the merchant side – Breeze Card </w:t>
      </w:r>
      <w:r>
        <w:sym w:font="Wingdings" w:char="F0E0"/>
      </w:r>
      <w:r>
        <w:t xml:space="preserve"> Breeze Card Automatic Fare Collection System </w:t>
      </w:r>
      <w:r>
        <w:sym w:font="Wingdings" w:char="F0E0"/>
      </w:r>
      <w:r>
        <w:t xml:space="preserve"> NextFare</w:t>
      </w:r>
    </w:p>
    <w:p w:rsidR="00E245D0" w:rsidRDefault="00E245D0" w:rsidP="00B4192F">
      <w:pPr>
        <w:pStyle w:val="ListParagraph"/>
        <w:widowControl w:val="0"/>
        <w:numPr>
          <w:ilvl w:val="1"/>
          <w:numId w:val="4"/>
        </w:numPr>
        <w:tabs>
          <w:tab w:val="left" w:pos="220"/>
          <w:tab w:val="left" w:pos="720"/>
        </w:tabs>
        <w:autoSpaceDE w:val="0"/>
        <w:autoSpaceDN w:val="0"/>
        <w:adjustRightInd w:val="0"/>
      </w:pPr>
      <w:r w:rsidRPr="005B4274">
        <w:rPr>
          <w:b/>
        </w:rPr>
        <w:t>P</w:t>
      </w:r>
      <w:r w:rsidR="004C02D3" w:rsidRPr="005B4274">
        <w:rPr>
          <w:b/>
        </w:rPr>
        <w:t xml:space="preserve">otential </w:t>
      </w:r>
      <w:r w:rsidR="00163A00" w:rsidRPr="005B4274">
        <w:rPr>
          <w:b/>
        </w:rPr>
        <w:t>P</w:t>
      </w:r>
      <w:r w:rsidRPr="005B4274">
        <w:rPr>
          <w:b/>
        </w:rPr>
        <w:t>CI Violations</w:t>
      </w:r>
      <w:r>
        <w:t xml:space="preserve"> – Data Breach </w:t>
      </w:r>
    </w:p>
    <w:p w:rsidR="00EE73AD" w:rsidRDefault="00163A00" w:rsidP="002F2D9D">
      <w:pPr>
        <w:pStyle w:val="ListParagraph"/>
        <w:widowControl w:val="0"/>
        <w:numPr>
          <w:ilvl w:val="2"/>
          <w:numId w:val="4"/>
        </w:numPr>
        <w:autoSpaceDE w:val="0"/>
        <w:autoSpaceDN w:val="0"/>
        <w:adjustRightInd w:val="0"/>
      </w:pPr>
      <w:r>
        <w:t xml:space="preserve">A PII Violation </w:t>
      </w:r>
      <w:r w:rsidRPr="00163A00">
        <w:t xml:space="preserve">is any information about an </w:t>
      </w:r>
      <w:r w:rsidR="006D4FA0" w:rsidRPr="00163A00">
        <w:t>individual, which</w:t>
      </w:r>
      <w:r w:rsidRPr="00163A00">
        <w:t xml:space="preserve"> can be used to distinguish or trace an individual's identity such as name, Social Security Number (SSN), date and place of birth, mother's maiden name, and biometric records. This information can be in hard copy (paper copy files) or electronic format, stored on personal computers, laptops and personal electronic devices and found within databases. This includes but is not limited to, education records, financial transactions, medical files, criminal records, or employment history.</w:t>
      </w:r>
    </w:p>
    <w:p w:rsidR="00EE73AD" w:rsidRDefault="00EE73AD" w:rsidP="00EE73AD">
      <w:pPr>
        <w:widowControl w:val="0"/>
        <w:autoSpaceDE w:val="0"/>
        <w:autoSpaceDN w:val="0"/>
        <w:adjustRightInd w:val="0"/>
      </w:pPr>
    </w:p>
    <w:p w:rsidR="00E603D0" w:rsidRDefault="00C24784" w:rsidP="00F2228A">
      <w:pPr>
        <w:pStyle w:val="ListParagraph"/>
        <w:widowControl w:val="0"/>
        <w:numPr>
          <w:ilvl w:val="0"/>
          <w:numId w:val="4"/>
        </w:numPr>
        <w:tabs>
          <w:tab w:val="left" w:pos="220"/>
          <w:tab w:val="left" w:pos="720"/>
        </w:tabs>
        <w:autoSpaceDE w:val="0"/>
        <w:autoSpaceDN w:val="0"/>
        <w:adjustRightInd w:val="0"/>
      </w:pPr>
      <w:r w:rsidRPr="00EC246D">
        <w:rPr>
          <w:highlight w:val="yellow"/>
        </w:rPr>
        <w:t>How to</w:t>
      </w:r>
      <w:r>
        <w:rPr>
          <w:highlight w:val="yellow"/>
        </w:rPr>
        <w:t xml:space="preserve"> potentially</w:t>
      </w:r>
      <w:r w:rsidRPr="00EC246D">
        <w:rPr>
          <w:highlight w:val="yellow"/>
        </w:rPr>
        <w:t xml:space="preserve"> mitigate </w:t>
      </w:r>
      <w:r w:rsidRPr="00EC246D">
        <w:rPr>
          <w:highlight w:val="yellow"/>
        </w:rPr>
        <w:sym w:font="Wingdings" w:char="F0E0"/>
      </w:r>
      <w:r>
        <w:t xml:space="preserve"> </w:t>
      </w:r>
    </w:p>
    <w:p w:rsidR="004E40BE" w:rsidRPr="00E603D0" w:rsidRDefault="004E40BE" w:rsidP="00F2228A">
      <w:pPr>
        <w:pStyle w:val="ListParagraph"/>
        <w:widowControl w:val="0"/>
        <w:numPr>
          <w:ilvl w:val="1"/>
          <w:numId w:val="4"/>
        </w:numPr>
        <w:tabs>
          <w:tab w:val="left" w:pos="220"/>
          <w:tab w:val="left" w:pos="720"/>
        </w:tabs>
        <w:autoSpaceDE w:val="0"/>
        <w:autoSpaceDN w:val="0"/>
        <w:adjustRightInd w:val="0"/>
      </w:pPr>
      <w:r w:rsidRPr="004E40BE">
        <w:rPr>
          <w:highlight w:val="lightGray"/>
        </w:rPr>
        <w:t xml:space="preserve">The language that exists within the Breeze Card Registration is similar to prepaid credit cards like the FSA and HSA cards that can be tweaked. Language similar to FSA and HSA Card applications and their accompanying apps </w:t>
      </w:r>
      <w:r w:rsidR="006D4FA0">
        <w:rPr>
          <w:highlight w:val="lightGray"/>
        </w:rPr>
        <w:t>i.e.</w:t>
      </w:r>
      <w:r>
        <w:rPr>
          <w:highlight w:val="lightGray"/>
        </w:rPr>
        <w:t xml:space="preserve"> Discovery Benefits when signing up.</w:t>
      </w:r>
    </w:p>
    <w:p w:rsidR="00C24784" w:rsidRDefault="00C24784" w:rsidP="00F2228A">
      <w:pPr>
        <w:pStyle w:val="ListParagraph"/>
        <w:widowControl w:val="0"/>
        <w:numPr>
          <w:ilvl w:val="1"/>
          <w:numId w:val="4"/>
        </w:numPr>
        <w:tabs>
          <w:tab w:val="left" w:pos="220"/>
          <w:tab w:val="left" w:pos="720"/>
        </w:tabs>
        <w:autoSpaceDE w:val="0"/>
        <w:autoSpaceDN w:val="0"/>
        <w:adjustRightInd w:val="0"/>
      </w:pPr>
      <w:r w:rsidRPr="006440F3">
        <w:rPr>
          <w:highlight w:val="lightGray"/>
        </w:rPr>
        <w:t>Also language can be added via the Terms &amp; Conditions when the individuals downloads and signs up for the app.</w:t>
      </w:r>
      <w:r>
        <w:t xml:space="preserve"> </w:t>
      </w:r>
    </w:p>
    <w:p w:rsidR="00EE73AD" w:rsidRDefault="00EE73AD" w:rsidP="00EE73AD">
      <w:pPr>
        <w:widowControl w:val="0"/>
        <w:autoSpaceDE w:val="0"/>
        <w:autoSpaceDN w:val="0"/>
        <w:adjustRightInd w:val="0"/>
      </w:pPr>
    </w:p>
    <w:p w:rsidR="00A15E18" w:rsidRDefault="0000400C" w:rsidP="00F2228A">
      <w:pPr>
        <w:pStyle w:val="ListParagraph"/>
        <w:widowControl w:val="0"/>
        <w:numPr>
          <w:ilvl w:val="0"/>
          <w:numId w:val="4"/>
        </w:numPr>
        <w:tabs>
          <w:tab w:val="left" w:pos="220"/>
          <w:tab w:val="left" w:pos="720"/>
        </w:tabs>
        <w:autoSpaceDE w:val="0"/>
        <w:autoSpaceDN w:val="0"/>
        <w:adjustRightInd w:val="0"/>
      </w:pPr>
      <w:r>
        <w:t>ADA Violations</w:t>
      </w:r>
      <w:r w:rsidR="00F2228A">
        <w:t xml:space="preserve"> </w:t>
      </w:r>
      <w:r w:rsidR="00A15E18">
        <w:t>–</w:t>
      </w:r>
      <w:r w:rsidR="00F2228A">
        <w:t xml:space="preserve"> </w:t>
      </w:r>
      <w:r w:rsidR="00A15E18">
        <w:t xml:space="preserve">Risks would be: </w:t>
      </w:r>
    </w:p>
    <w:p w:rsidR="00F2228A" w:rsidRDefault="00A15E18" w:rsidP="00A15E18">
      <w:pPr>
        <w:pStyle w:val="ListParagraph"/>
        <w:widowControl w:val="0"/>
        <w:numPr>
          <w:ilvl w:val="1"/>
          <w:numId w:val="4"/>
        </w:numPr>
        <w:tabs>
          <w:tab w:val="left" w:pos="220"/>
          <w:tab w:val="left" w:pos="720"/>
        </w:tabs>
        <w:autoSpaceDE w:val="0"/>
        <w:autoSpaceDN w:val="0"/>
        <w:adjustRightInd w:val="0"/>
      </w:pPr>
      <w:r>
        <w:t>Complaints, Bad Press, Entity Wide Reputational Risk, and Legal Risk</w:t>
      </w:r>
      <w:r w:rsidR="00F2228A">
        <w:t xml:space="preserve"> </w:t>
      </w:r>
    </w:p>
    <w:p w:rsidR="00293FFB" w:rsidRDefault="0000400C" w:rsidP="0000400C">
      <w:pPr>
        <w:pStyle w:val="ListParagraph"/>
        <w:widowControl w:val="0"/>
        <w:numPr>
          <w:ilvl w:val="1"/>
          <w:numId w:val="4"/>
        </w:numPr>
        <w:tabs>
          <w:tab w:val="left" w:pos="220"/>
          <w:tab w:val="left" w:pos="720"/>
        </w:tabs>
        <w:autoSpaceDE w:val="0"/>
        <w:autoSpaceDN w:val="0"/>
        <w:adjustRightInd w:val="0"/>
        <w:rPr>
          <w:b/>
          <w:i/>
        </w:rPr>
      </w:pPr>
      <w:r w:rsidRPr="00246E24">
        <w:rPr>
          <w:b/>
          <w:i/>
        </w:rPr>
        <w:t xml:space="preserve">Most Common </w:t>
      </w:r>
      <w:r>
        <w:rPr>
          <w:b/>
          <w:i/>
        </w:rPr>
        <w:t>ADA</w:t>
      </w:r>
      <w:r w:rsidRPr="00246E24">
        <w:rPr>
          <w:b/>
          <w:i/>
        </w:rPr>
        <w:t xml:space="preserve"> Violation</w:t>
      </w:r>
      <w:r>
        <w:rPr>
          <w:b/>
          <w:i/>
        </w:rPr>
        <w:t>s</w:t>
      </w:r>
      <w:r w:rsidRPr="00246E24">
        <w:rPr>
          <w:b/>
          <w:i/>
        </w:rPr>
        <w:t xml:space="preserve"> that could occur: </w:t>
      </w:r>
    </w:p>
    <w:p w:rsidR="00B65770" w:rsidRDefault="00293FFB" w:rsidP="00B65770">
      <w:pPr>
        <w:pStyle w:val="ListParagraph"/>
        <w:widowControl w:val="0"/>
        <w:numPr>
          <w:ilvl w:val="0"/>
          <w:numId w:val="8"/>
        </w:numPr>
        <w:tabs>
          <w:tab w:val="left" w:pos="220"/>
          <w:tab w:val="left" w:pos="720"/>
        </w:tabs>
        <w:autoSpaceDE w:val="0"/>
        <w:autoSpaceDN w:val="0"/>
        <w:adjustRightInd w:val="0"/>
        <w:rPr>
          <w:b/>
        </w:rPr>
      </w:pPr>
      <w:r w:rsidRPr="00B65770">
        <w:rPr>
          <w:b/>
        </w:rPr>
        <w:t>No Accessible Entrance</w:t>
      </w:r>
    </w:p>
    <w:p w:rsidR="007D017E" w:rsidRDefault="00B65770" w:rsidP="00B65770">
      <w:pPr>
        <w:pStyle w:val="ListParagraph"/>
        <w:widowControl w:val="0"/>
        <w:numPr>
          <w:ilvl w:val="0"/>
          <w:numId w:val="8"/>
        </w:numPr>
        <w:tabs>
          <w:tab w:val="left" w:pos="220"/>
          <w:tab w:val="left" w:pos="720"/>
        </w:tabs>
        <w:autoSpaceDE w:val="0"/>
        <w:autoSpaceDN w:val="0"/>
        <w:adjustRightInd w:val="0"/>
        <w:rPr>
          <w:b/>
        </w:rPr>
      </w:pPr>
      <w:r>
        <w:rPr>
          <w:b/>
        </w:rPr>
        <w:t xml:space="preserve">Too Steep/No </w:t>
      </w:r>
      <w:r w:rsidR="006D4FA0">
        <w:rPr>
          <w:b/>
        </w:rPr>
        <w:t>Curb cuts</w:t>
      </w:r>
    </w:p>
    <w:p w:rsidR="0000400C" w:rsidRPr="00B65770" w:rsidRDefault="0000400C" w:rsidP="007D017E">
      <w:pPr>
        <w:pStyle w:val="ListParagraph"/>
        <w:widowControl w:val="0"/>
        <w:tabs>
          <w:tab w:val="left" w:pos="220"/>
          <w:tab w:val="left" w:pos="720"/>
        </w:tabs>
        <w:autoSpaceDE w:val="0"/>
        <w:autoSpaceDN w:val="0"/>
        <w:adjustRightInd w:val="0"/>
        <w:ind w:left="1800"/>
        <w:rPr>
          <w:b/>
        </w:rPr>
      </w:pPr>
    </w:p>
    <w:p w:rsidR="009264DC" w:rsidRDefault="007D017E" w:rsidP="007D017E">
      <w:pPr>
        <w:pStyle w:val="ListParagraph"/>
        <w:widowControl w:val="0"/>
        <w:numPr>
          <w:ilvl w:val="0"/>
          <w:numId w:val="9"/>
        </w:numPr>
        <w:tabs>
          <w:tab w:val="left" w:pos="220"/>
          <w:tab w:val="left" w:pos="720"/>
        </w:tabs>
        <w:autoSpaceDE w:val="0"/>
        <w:autoSpaceDN w:val="0"/>
        <w:adjustRightInd w:val="0"/>
      </w:pPr>
      <w:r w:rsidRPr="00EC246D">
        <w:rPr>
          <w:highlight w:val="yellow"/>
        </w:rPr>
        <w:t>How to</w:t>
      </w:r>
      <w:r>
        <w:rPr>
          <w:highlight w:val="yellow"/>
        </w:rPr>
        <w:t xml:space="preserve"> potentially</w:t>
      </w:r>
      <w:r w:rsidRPr="00EC246D">
        <w:rPr>
          <w:highlight w:val="yellow"/>
        </w:rPr>
        <w:t xml:space="preserve"> mitigate </w:t>
      </w:r>
      <w:r w:rsidRPr="00EC246D">
        <w:rPr>
          <w:highlight w:val="yellow"/>
        </w:rPr>
        <w:sym w:font="Wingdings" w:char="F0E0"/>
      </w:r>
      <w:r>
        <w:t xml:space="preserve"> </w:t>
      </w:r>
    </w:p>
    <w:p w:rsidR="007D017E" w:rsidRDefault="009264DC" w:rsidP="009264DC">
      <w:pPr>
        <w:pStyle w:val="ListParagraph"/>
        <w:widowControl w:val="0"/>
        <w:numPr>
          <w:ilvl w:val="1"/>
          <w:numId w:val="9"/>
        </w:numPr>
        <w:tabs>
          <w:tab w:val="left" w:pos="220"/>
          <w:tab w:val="left" w:pos="720"/>
        </w:tabs>
        <w:autoSpaceDE w:val="0"/>
        <w:autoSpaceDN w:val="0"/>
        <w:adjustRightInd w:val="0"/>
      </w:pPr>
      <w:r w:rsidRPr="00C20F3D">
        <w:rPr>
          <w:highlight w:val="lightGray"/>
        </w:rPr>
        <w:t xml:space="preserve">By adding additional features the app can assist </w:t>
      </w:r>
      <w:r w:rsidR="001A6FB0" w:rsidRPr="00C20F3D">
        <w:rPr>
          <w:highlight w:val="lightGray"/>
        </w:rPr>
        <w:t xml:space="preserve">with </w:t>
      </w:r>
      <w:r w:rsidRPr="00C20F3D">
        <w:rPr>
          <w:highlight w:val="lightGray"/>
        </w:rPr>
        <w:t xml:space="preserve">proper location </w:t>
      </w:r>
      <w:r w:rsidR="00704C60" w:rsidRPr="00C20F3D">
        <w:rPr>
          <w:highlight w:val="lightGray"/>
        </w:rPr>
        <w:t xml:space="preserve">pick-up, customizations, </w:t>
      </w:r>
      <w:r w:rsidR="004F5494" w:rsidRPr="00C20F3D">
        <w:rPr>
          <w:highlight w:val="lightGray"/>
        </w:rPr>
        <w:t>confirmations</w:t>
      </w:r>
      <w:r w:rsidR="001A6FB0" w:rsidRPr="00C20F3D">
        <w:rPr>
          <w:highlight w:val="lightGray"/>
        </w:rPr>
        <w:t>, and a ple</w:t>
      </w:r>
      <w:r w:rsidR="00C03312" w:rsidRPr="00C20F3D">
        <w:rPr>
          <w:highlight w:val="lightGray"/>
        </w:rPr>
        <w:t>thora of additional features to increase ease of use, accessibility and more.</w:t>
      </w:r>
      <w:r w:rsidR="00C03312">
        <w:t xml:space="preserve"> </w:t>
      </w:r>
    </w:p>
    <w:p w:rsidR="007D017E" w:rsidRDefault="007D017E" w:rsidP="007D017E">
      <w:pPr>
        <w:pStyle w:val="ListParagraph"/>
        <w:widowControl w:val="0"/>
        <w:tabs>
          <w:tab w:val="left" w:pos="220"/>
          <w:tab w:val="left" w:pos="720"/>
        </w:tabs>
        <w:autoSpaceDE w:val="0"/>
        <w:autoSpaceDN w:val="0"/>
        <w:adjustRightInd w:val="0"/>
      </w:pPr>
    </w:p>
    <w:p w:rsidR="00163A00" w:rsidRPr="00163A00" w:rsidRDefault="00163A00" w:rsidP="00EE73AD">
      <w:pPr>
        <w:widowControl w:val="0"/>
        <w:autoSpaceDE w:val="0"/>
        <w:autoSpaceDN w:val="0"/>
        <w:adjustRightInd w:val="0"/>
      </w:pPr>
    </w:p>
    <w:p w:rsidR="0082675A" w:rsidRPr="00477244" w:rsidRDefault="00163A00" w:rsidP="00163A00">
      <w:pPr>
        <w:widowControl w:val="0"/>
        <w:tabs>
          <w:tab w:val="left" w:pos="220"/>
          <w:tab w:val="left" w:pos="720"/>
        </w:tabs>
        <w:autoSpaceDE w:val="0"/>
        <w:autoSpaceDN w:val="0"/>
        <w:adjustRightInd w:val="0"/>
        <w:ind w:left="360"/>
        <w:rPr>
          <w:b/>
          <w:i/>
          <w:sz w:val="22"/>
        </w:rPr>
      </w:pPr>
      <w:r w:rsidRPr="00477244">
        <w:rPr>
          <w:b/>
          <w:i/>
          <w:sz w:val="22"/>
        </w:rPr>
        <w:t xml:space="preserve">* All recommendations for risk mitigation for HIPPA, </w:t>
      </w:r>
      <w:r w:rsidR="008E13FE" w:rsidRPr="00477244">
        <w:rPr>
          <w:b/>
          <w:i/>
          <w:sz w:val="22"/>
        </w:rPr>
        <w:t xml:space="preserve">PHI, </w:t>
      </w:r>
      <w:r w:rsidRPr="00477244">
        <w:rPr>
          <w:b/>
          <w:i/>
          <w:sz w:val="22"/>
        </w:rPr>
        <w:t xml:space="preserve">PII, and ADA Violations should be run through Marta’s and any vendors, authorizers, merchants, and involved parties to ensure validity, legality, and assumption of risk.  Also consideration should be made to ensure that any of the risk mitigation measures </w:t>
      </w:r>
      <w:r w:rsidR="00E74AE6" w:rsidRPr="00477244">
        <w:rPr>
          <w:b/>
          <w:i/>
          <w:sz w:val="22"/>
        </w:rPr>
        <w:t xml:space="preserve">that are undertaken are assumed by the correct entity or entities by thorough review of the existing contracts, especially the one entered into agreement by MV and Marta. </w:t>
      </w:r>
    </w:p>
    <w:p w:rsidR="00381E6C" w:rsidRDefault="00381E6C" w:rsidP="0082675A">
      <w:pPr>
        <w:pStyle w:val="ListParagraph"/>
        <w:widowControl w:val="0"/>
        <w:tabs>
          <w:tab w:val="left" w:pos="220"/>
          <w:tab w:val="left" w:pos="720"/>
        </w:tabs>
        <w:autoSpaceDE w:val="0"/>
        <w:autoSpaceDN w:val="0"/>
        <w:adjustRightInd w:val="0"/>
        <w:ind w:left="360"/>
      </w:pPr>
    </w:p>
    <w:sectPr w:rsidR="00381E6C" w:rsidSect="00381E6C">
      <w:pgSz w:w="11900" w:h="16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D64FC9C"/>
    <w:lvl w:ilvl="0" w:tplc="0409000F">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14F18DA"/>
    <w:multiLevelType w:val="multilevel"/>
    <w:tmpl w:val="23FE51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decimal"/>
      <w:lvlText w:val="%3."/>
      <w:lvlJc w:val="left"/>
      <w:pPr>
        <w:ind w:left="72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23AB198D"/>
    <w:multiLevelType w:val="hybridMultilevel"/>
    <w:tmpl w:val="E0604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720" w:hanging="360"/>
      </w:pPr>
      <w:rPr>
        <w:rFonts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6018EE"/>
    <w:multiLevelType w:val="hybridMultilevel"/>
    <w:tmpl w:val="23FE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6E1277"/>
    <w:multiLevelType w:val="hybridMultilevel"/>
    <w:tmpl w:val="2AF0BB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C4257BA"/>
    <w:multiLevelType w:val="hybridMultilevel"/>
    <w:tmpl w:val="C6DED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1F2665"/>
    <w:multiLevelType w:val="hybridMultilevel"/>
    <w:tmpl w:val="4242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54435"/>
    <w:multiLevelType w:val="hybridMultilevel"/>
    <w:tmpl w:val="EA36B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C02BBB"/>
    <w:multiLevelType w:val="hybridMultilevel"/>
    <w:tmpl w:val="B0D8D0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3"/>
  </w:num>
  <w:num w:numId="6">
    <w:abstractNumId w:val="1"/>
  </w:num>
  <w:num w:numId="7">
    <w:abstractNumId w:val="2"/>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375D"/>
    <w:rsid w:val="0000400C"/>
    <w:rsid w:val="000735C3"/>
    <w:rsid w:val="00073856"/>
    <w:rsid w:val="00082729"/>
    <w:rsid w:val="00163A00"/>
    <w:rsid w:val="001A6FB0"/>
    <w:rsid w:val="00215353"/>
    <w:rsid w:val="00246E24"/>
    <w:rsid w:val="002547F7"/>
    <w:rsid w:val="00293FFB"/>
    <w:rsid w:val="00297638"/>
    <w:rsid w:val="002C28D7"/>
    <w:rsid w:val="002F2D9D"/>
    <w:rsid w:val="003351CD"/>
    <w:rsid w:val="00360AA7"/>
    <w:rsid w:val="00373129"/>
    <w:rsid w:val="00381E6C"/>
    <w:rsid w:val="003C4E58"/>
    <w:rsid w:val="00417C60"/>
    <w:rsid w:val="00477244"/>
    <w:rsid w:val="004C02D3"/>
    <w:rsid w:val="004D212F"/>
    <w:rsid w:val="004D3AF6"/>
    <w:rsid w:val="004E375D"/>
    <w:rsid w:val="004E40BE"/>
    <w:rsid w:val="004F5494"/>
    <w:rsid w:val="00511479"/>
    <w:rsid w:val="00561759"/>
    <w:rsid w:val="005B4274"/>
    <w:rsid w:val="006440F3"/>
    <w:rsid w:val="006679CB"/>
    <w:rsid w:val="00675FD6"/>
    <w:rsid w:val="006D4FA0"/>
    <w:rsid w:val="00704C60"/>
    <w:rsid w:val="00730522"/>
    <w:rsid w:val="00755013"/>
    <w:rsid w:val="007760DD"/>
    <w:rsid w:val="007D017E"/>
    <w:rsid w:val="008039C2"/>
    <w:rsid w:val="0082675A"/>
    <w:rsid w:val="00847BDC"/>
    <w:rsid w:val="00847EF7"/>
    <w:rsid w:val="00857A2D"/>
    <w:rsid w:val="00862B83"/>
    <w:rsid w:val="00882B7B"/>
    <w:rsid w:val="008D0F31"/>
    <w:rsid w:val="008E13FE"/>
    <w:rsid w:val="009264DC"/>
    <w:rsid w:val="009361FB"/>
    <w:rsid w:val="00974CD8"/>
    <w:rsid w:val="009E522F"/>
    <w:rsid w:val="009E5A71"/>
    <w:rsid w:val="00A15E18"/>
    <w:rsid w:val="00A40195"/>
    <w:rsid w:val="00A43C68"/>
    <w:rsid w:val="00B4192F"/>
    <w:rsid w:val="00B65770"/>
    <w:rsid w:val="00C03312"/>
    <w:rsid w:val="00C20F3D"/>
    <w:rsid w:val="00C23F0A"/>
    <w:rsid w:val="00C24784"/>
    <w:rsid w:val="00C57D26"/>
    <w:rsid w:val="00D56B2D"/>
    <w:rsid w:val="00E245D0"/>
    <w:rsid w:val="00E261EF"/>
    <w:rsid w:val="00E35D70"/>
    <w:rsid w:val="00E529E1"/>
    <w:rsid w:val="00E603D0"/>
    <w:rsid w:val="00E74AE6"/>
    <w:rsid w:val="00EC246D"/>
    <w:rsid w:val="00ED662E"/>
    <w:rsid w:val="00EE73AD"/>
    <w:rsid w:val="00F0408B"/>
    <w:rsid w:val="00F11E10"/>
    <w:rsid w:val="00F14185"/>
    <w:rsid w:val="00F2228A"/>
    <w:rsid w:val="00F26A3B"/>
    <w:rsid w:val="00F6201E"/>
    <w:rsid w:val="00F70756"/>
    <w:rsid w:val="00F87F45"/>
    <w:rsid w:val="00FD2841"/>
    <w:rsid w:val="00FF29A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6D03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D662E"/>
    <w:pPr>
      <w:ind w:left="720"/>
      <w:contextualSpacing/>
    </w:pPr>
  </w:style>
  <w:style w:type="table" w:styleId="TableGrid">
    <w:name w:val="Table Grid"/>
    <w:basedOn w:val="TableNormal"/>
    <w:uiPriority w:val="59"/>
    <w:rsid w:val="004D21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3C4E58"/>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dc.gov/media/releases/2015/p0730-us-disability.html" TargetMode="External"/><Relationship Id="rId6" Type="http://schemas.openxmlformats.org/officeDocument/2006/relationships/hyperlink" Target="https://news.atlantaregional.com/atlanta-population-change-surprising-ways-204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650</Words>
  <Characters>3709</Characters>
  <Application>Microsoft Macintosh Word</Application>
  <DocSecurity>0</DocSecurity>
  <Lines>30</Lines>
  <Paragraphs>7</Paragraphs>
  <ScaleCrop>false</ScaleCrop>
  <Company>Small Solutions</Company>
  <LinksUpToDate>false</LinksUpToDate>
  <CharactersWithSpaces>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Brittani Smalls</dc:creator>
  <cp:keywords/>
  <cp:lastModifiedBy>Brittani Smalls</cp:lastModifiedBy>
  <cp:revision>42</cp:revision>
  <dcterms:created xsi:type="dcterms:W3CDTF">2017-02-25T20:39:00Z</dcterms:created>
  <dcterms:modified xsi:type="dcterms:W3CDTF">2017-02-25T21:14:00Z</dcterms:modified>
</cp:coreProperties>
</file>