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595959"/>
          <w:spacing w:val="20"/>
          <w:sz w:val="24"/>
          <w:szCs w:val="24"/>
        </w:rPr>
        <w:t xml:space="preserve">SMART INDIA HACKATHON</w:t>
      </w:r>
    </w:p>
    <w:p>
      <w:pPr>
        <w:spacing w:after="400"/>
        <w:jc w:val="center"/>
      </w:pPr>
      <w:r>
        <w:rPr>
          <w:b/>
          <w:bCs/>
          <w:color w:val="595959"/>
          <w:sz w:val="24"/>
          <w:szCs w:val="24"/>
        </w:rPr>
        <w:t xml:space="preserve">Problem Statement 26102</w:t>
      </w:r>
    </w:p>
    <w:p>
      <w:pPr>
        <w:spacing w:after="120"/>
        <w:jc w:val="center"/>
      </w:pPr>
      <w:r>
        <w:rPr>
          <w:b/>
          <w:bCs/>
          <w:color w:val="1F3864"/>
          <w:sz w:val="44"/>
          <w:szCs w:val="44"/>
        </w:rPr>
        <w:t xml:space="preserve">AI-Powered Anomaly, Fraud &amp; Inefficiency</w:t>
      </w:r>
    </w:p>
    <w:p>
      <w:pPr>
        <w:spacing w:after="400"/>
        <w:jc w:val="center"/>
      </w:pPr>
      <w:r>
        <w:rPr>
          <w:b/>
          <w:bCs/>
          <w:color w:val="1F3864"/>
          <w:sz w:val="44"/>
          <w:szCs w:val="44"/>
        </w:rPr>
        <w:t xml:space="preserve">Detection Platform for MPLADS</w:t>
      </w:r>
    </w:p>
    <w:p>
      <w:pPr>
        <w:spacing w:after="600"/>
        <w:jc w:val="center"/>
      </w:pPr>
      <w:r>
        <w:rPr>
          <w:i/>
          <w:iCs/>
          <w:color w:val="2E5395"/>
          <w:sz w:val="24"/>
          <w:szCs w:val="24"/>
        </w:rPr>
        <w:t xml:space="preserve">End-to-End Development Roadmap, Requirements &amp; Technology Blueprint</w:t>
      </w:r>
    </w:p>
    <w:p>
      <w:pPr>
        <w:spacing w:after="6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150"/>
            <w:shd w:fill="1F3864" w:val="clear"/>
            <w:tcMar>
              <w:top w:type="dxa" w:w="80"/>
              <w:left w:type="dxa" w:w="100"/>
              <w:bottom w:type="dxa" w:w="80"/>
              <w:right w:type="dxa" w:w="100"/>
            </w:tcMar>
            <w:vAlign w:val="center"/>
          </w:tcPr>
          <w:p>
            <w:pPr>
              <w:jc w:val="left"/>
            </w:pPr>
            <w:r>
              <w:rPr>
                <w:b/>
                <w:bCs/>
                <w:color w:val="FFFFFF"/>
                <w:sz w:val="20"/>
                <w:szCs w:val="20"/>
              </w:rPr>
              <w:t xml:space="preserve">Detail</w:t>
            </w:r>
          </w:p>
        </w:tc>
      </w:tr>
      <w:tr>
        <w:tc>
          <w:tcPr>
            <w:tcW w:type="dxa" w:w="32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Organization</w:t>
            </w:r>
          </w:p>
        </w:tc>
        <w:tc>
          <w:tcPr>
            <w:tcW w:type="dxa" w:w="61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Ministry of Statistics &amp; Programme Implementation (MoSPI)</w:t>
            </w:r>
          </w:p>
        </w:tc>
      </w:tr>
      <w:tr>
        <w:tc>
          <w:tcPr>
            <w:tcW w:type="dxa" w:w="32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Department</w:t>
            </w:r>
          </w:p>
        </w:tc>
        <w:tc>
          <w:tcPr>
            <w:tcW w:type="dxa" w:w="61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Data Informatics &amp; Innovation Division (DIID)</w:t>
            </w:r>
          </w:p>
        </w:tc>
      </w:tr>
      <w:tr>
        <w:tc>
          <w:tcPr>
            <w:tcW w:type="dxa" w:w="32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Category</w:t>
            </w:r>
          </w:p>
        </w:tc>
        <w:tc>
          <w:tcPr>
            <w:tcW w:type="dxa" w:w="61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Software</w:t>
            </w:r>
          </w:p>
        </w:tc>
      </w:tr>
      <w:tr>
        <w:tc>
          <w:tcPr>
            <w:tcW w:type="dxa" w:w="32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Theme</w:t>
            </w:r>
          </w:p>
        </w:tc>
        <w:tc>
          <w:tcPr>
            <w:tcW w:type="dxa" w:w="61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Smart Automation</w:t>
            </w:r>
          </w:p>
        </w:tc>
      </w:tr>
      <w:tr>
        <w:tc>
          <w:tcPr>
            <w:tcW w:type="dxa" w:w="32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Dataset</w:t>
            </w:r>
          </w:p>
        </w:tc>
        <w:tc>
          <w:tcPr>
            <w:tcW w:type="dxa" w:w="61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mplads.mospi.gov.in (eSAKSHI Dashboard)</w:t>
            </w:r>
          </w:p>
        </w:tc>
      </w:tr>
      <w:tr>
        <w:tc>
          <w:tcPr>
            <w:tcW w:type="dxa" w:w="32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Prepared for</w:t>
            </w:r>
          </w:p>
        </w:tc>
        <w:tc>
          <w:tcPr>
            <w:tcW w:type="dxa" w:w="61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Team Submission — adesharabrijesh8@gmail.com</w:t>
            </w:r>
          </w:p>
        </w:tc>
      </w:tr>
      <w:tr>
        <w:tc>
          <w:tcPr>
            <w:tcW w:type="dxa" w:w="32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Document Date</w:t>
            </w:r>
          </w:p>
        </w:tc>
        <w:tc>
          <w:tcPr>
            <w:tcW w:type="dxa" w:w="61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September 2026</w:t>
            </w:r>
          </w:p>
        </w:tc>
      </w:tr>
    </w:tbl>
    <w:p>
      <w:pPr>
        <w:spacing w:after="600"/>
      </w:pPr>
    </w:p>
    <w:p>
      <w:pPr>
        <w:spacing w:after="0"/>
        <w:jc w:val="center"/>
      </w:pPr>
      <w:r>
        <w:rPr>
          <w:i/>
          <w:iCs/>
          <w:color w:val="595959"/>
          <w:sz w:val="19"/>
          <w:szCs w:val="19"/>
        </w:rPr>
        <w:t xml:space="preserve">This roadmap translates the problem statement into a buildable system: architecture, ML methodology, tech stack, a phased execution plan aligned to the SIH internal-hackathon → grand-finale timeline, and the case to make in front of judges.</w:t>
      </w:r>
    </w:p>
    <w:p>
      <w:r>
        <w:br w:type="page"/>
      </w:r>
    </w:p>
    <w:p>
      <w:pPr>
        <w:sectPr>
          <w:pgSz w:w="12240" w:h="15840" w:orient="portrait"/>
          <w:pgMar w:top="1000" w:right="1200" w:bottom="1000" w:left="120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Problem Understanding</w:t>
      </w:r>
    </w:p>
    <w:p>
      <w:pPr>
        <w:pStyle w:val="Heading2"/>
        <w:spacing w:after="140" w:before="280"/>
      </w:pPr>
      <w:r>
        <w:rPr>
          <w:b/>
          <w:bCs/>
          <w:color w:val="2E5395"/>
          <w:sz w:val="24"/>
          <w:szCs w:val="24"/>
        </w:rPr>
        <w:t xml:space="preserve">1.1 What MPLADS actually is</w:t>
      </w:r>
    </w:p>
    <w:p>
      <w:pPr>
        <w:spacing w:after="160" w:line="276"/>
      </w:pPr>
      <w:r>
        <w:rPr>
          <w:color w:val="202020"/>
          <w:sz w:val="21"/>
          <w:szCs w:val="21"/>
        </w:rPr>
        <w:t xml:space="preserve">The Members of Parliament Local Area Development Scheme (MPLADS) gives every MP an annual entitlement of ₹5 crore to recommend developmental works in their constituency. Funds are released to District Authorities, who hold them on a non-lapsable basis and route them through Implementing Agencies (PWD, municipal bodies, panchayats, NGOs, etc.) that execute the actual works — roads, drinking water, school buildings, community halls, sanitation, and similar durable assets. MPs must allocate a minimum of 15% for SC-majority areas and 7.5% for ST-majority areas.</w:t>
      </w:r>
    </w:p>
    <w:p>
      <w:pPr>
        <w:spacing w:after="160" w:line="276"/>
      </w:pPr>
      <w:r>
        <w:rPr>
          <w:color w:val="202020"/>
          <w:sz w:val="21"/>
          <w:szCs w:val="21"/>
        </w:rPr>
        <w:t xml:space="preserve">The chain of custody for a rupee of MPLADS money is therefore long: MP recommendation → District Authority sanction → Implementing Agency execution → vendor/contractor payment → asset creation → completion certification. Every handoff is a place where a number can be inflated, a work can be duplicated on paper, a payment can be released for something that was never built, or a project can simply stall for years while still shown as “in progress.” This is precisely the surface area the problem statement asks us to instrument.</w:t>
      </w:r>
    </w:p>
    <w:p>
      <w:pPr>
        <w:pStyle w:val="Heading2"/>
        <w:spacing w:after="140" w:before="280"/>
      </w:pPr>
      <w:r>
        <w:rPr>
          <w:b/>
          <w:bCs/>
          <w:color w:val="2E5395"/>
          <w:sz w:val="24"/>
          <w:szCs w:val="24"/>
        </w:rPr>
        <w:t xml:space="preserve">1.2 Why this is hard to monitor manually</w:t>
      </w:r>
    </w:p>
    <w:p>
      <w:pPr>
        <w:pStyle w:val="ListParagraph"/>
        <w:numPr>
          <w:ilvl w:val="0"/>
          <w:numId w:val="2"/>
        </w:numPr>
        <w:spacing w:after="80" w:line="264"/>
      </w:pPr>
      <w:r>
        <w:rPr>
          <w:b w:val="false"/>
          <w:bCs w:val="false"/>
          <w:color w:val="202020"/>
          <w:sz w:val="21"/>
          <w:szCs w:val="21"/>
        </w:rPr>
        <w:t xml:space="preserve">Scale: thousands of works are sanctioned every year across 543 Lok Sabha + Rajya Sabha MPs, each with independent District Authorities and Implementing Agencies — there is no single officer who can eyeball all of it.</w:t>
      </w:r>
    </w:p>
    <w:p>
      <w:pPr>
        <w:pStyle w:val="ListParagraph"/>
        <w:numPr>
          <w:ilvl w:val="0"/>
          <w:numId w:val="2"/>
        </w:numPr>
        <w:spacing w:after="80" w:line="264"/>
      </w:pPr>
      <w:r>
        <w:rPr>
          <w:b w:val="false"/>
          <w:bCs w:val="false"/>
          <w:color w:val="202020"/>
          <w:sz w:val="21"/>
          <w:szCs w:val="21"/>
        </w:rPr>
        <w:t xml:space="preserve">Fragmentation: sanction orders, cost estimates, payment vouchers, geotagged photos, and completion certificates are generated by different agencies at different times, often as scanned PDFs rather than structured data.</w:t>
      </w:r>
    </w:p>
    <w:p>
      <w:pPr>
        <w:pStyle w:val="ListParagraph"/>
        <w:numPr>
          <w:ilvl w:val="0"/>
          <w:numId w:val="2"/>
        </w:numPr>
        <w:spacing w:after="80" w:line="264"/>
      </w:pPr>
      <w:r>
        <w:rPr>
          <w:b w:val="false"/>
          <w:bCs w:val="false"/>
          <w:color w:val="202020"/>
          <w:sz w:val="21"/>
          <w:szCs w:val="21"/>
        </w:rPr>
        <w:t xml:space="preserve">Silent failure modes: cost overruns and delays don't trigger alarms on their own — they only look anomalous relative to similar works elsewhere, which requires comparison at scale, not a single record's face value.</w:t>
      </w:r>
    </w:p>
    <w:p>
      <w:pPr>
        <w:pStyle w:val="ListParagraph"/>
        <w:numPr>
          <w:ilvl w:val="0"/>
          <w:numId w:val="2"/>
        </w:numPr>
        <w:spacing w:after="80" w:line="264"/>
      </w:pPr>
      <w:r>
        <w:rPr>
          <w:b w:val="false"/>
          <w:bCs w:val="false"/>
          <w:color w:val="202020"/>
          <w:sz w:val="21"/>
          <w:szCs w:val="21"/>
        </w:rPr>
        <w:t xml:space="preserve">Weak statutory teeth: MPLADS guidelines are executive instructions, not law, so there is no independent regulator actively cross-checking claims — monitoring today is largely self-reported by the same agencies being monitored.</w:t>
      </w:r>
    </w:p>
    <w:p>
      <w:pPr>
        <w:pStyle w:val="Heading2"/>
        <w:spacing w:after="140" w:before="280"/>
      </w:pPr>
      <w:r>
        <w:rPr>
          <w:b/>
          <w:bCs/>
          <w:color w:val="2E5395"/>
          <w:sz w:val="24"/>
          <w:szCs w:val="24"/>
        </w:rPr>
        <w:t xml:space="preserve">1.3 Concrete fraud / inefficiency patterns to 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Pattern</w:t>
            </w:r>
          </w:p>
        </w:tc>
        <w:tc>
          <w:tcPr>
            <w:tcW w:type="dxa" w:w="3900"/>
            <w:shd w:fill="1F3864" w:val="clear"/>
            <w:tcMar>
              <w:top w:type="dxa" w:w="80"/>
              <w:left w:type="dxa" w:w="100"/>
              <w:bottom w:type="dxa" w:w="80"/>
              <w:right w:type="dxa" w:w="100"/>
            </w:tcMar>
            <w:vAlign w:val="center"/>
          </w:tcPr>
          <w:p>
            <w:pPr>
              <w:jc w:val="left"/>
            </w:pPr>
            <w:r>
              <w:rPr>
                <w:b/>
                <w:bCs/>
                <w:color w:val="FFFFFF"/>
                <w:sz w:val="20"/>
                <w:szCs w:val="20"/>
              </w:rPr>
              <w:t xml:space="preserve">How it shows up in data</w:t>
            </w:r>
          </w:p>
        </w:tc>
        <w:tc>
          <w:tcPr>
            <w:tcW w:type="dxa" w:w="2850"/>
            <w:shd w:fill="1F3864" w:val="clear"/>
            <w:tcMar>
              <w:top w:type="dxa" w:w="80"/>
              <w:left w:type="dxa" w:w="100"/>
              <w:bottom w:type="dxa" w:w="80"/>
              <w:right w:type="dxa" w:w="100"/>
            </w:tcMar>
            <w:vAlign w:val="center"/>
          </w:tcPr>
          <w:p>
            <w:pPr>
              <w:jc w:val="left"/>
            </w:pPr>
            <w:r>
              <w:rPr>
                <w:b/>
                <w:bCs/>
                <w:color w:val="FFFFFF"/>
                <w:sz w:val="20"/>
                <w:szCs w:val="20"/>
              </w:rPr>
              <w:t xml:space="preserve">Signal to detect</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Cost inflation</w:t>
            </w:r>
          </w:p>
        </w:tc>
        <w:tc>
          <w:tcPr>
            <w:tcW w:type="dxa" w:w="39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Estimate for a work is far above comparable works of same type/size/region</w:t>
            </w:r>
          </w:p>
        </w:tc>
        <w:tc>
          <w:tcPr>
            <w:tcW w:type="dxa" w:w="28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Outlier cost-per-unit vs. peer distribution</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Duplicate / phantom works</w:t>
            </w:r>
          </w:p>
        </w:tc>
        <w:tc>
          <w:tcPr>
            <w:tcW w:type="dxa" w:w="39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Same GPS coordinates, same asset description, or same vendor billed twice under different work IDs</w:t>
            </w:r>
          </w:p>
        </w:tc>
        <w:tc>
          <w:tcPr>
            <w:tcW w:type="dxa" w:w="28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Near-duplicate / entity-resolution matches</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Split-work evasion</w:t>
            </w:r>
          </w:p>
        </w:tc>
        <w:tc>
          <w:tcPr>
            <w:tcW w:type="dxa" w:w="39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 single large work broken into several smaller ones to dodge approval thresholds</w:t>
            </w:r>
          </w:p>
        </w:tc>
        <w:tc>
          <w:tcPr>
            <w:tcW w:type="dxa" w:w="28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Clustering of works by location + date + agency just under threshold</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Ghost / incomplete assets</w:t>
            </w:r>
          </w:p>
        </w:tc>
        <w:tc>
          <w:tcPr>
            <w:tcW w:type="dxa" w:w="39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Work marked “completed” and fully paid but no or inconsistent geotagged photo evidence, or photo metadata mismatch</w:t>
            </w:r>
          </w:p>
        </w:tc>
        <w:tc>
          <w:tcPr>
            <w:tcW w:type="dxa" w:w="28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Image-metadata &amp; CV consistency checks</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Payment-progress mismatch</w:t>
            </w:r>
          </w:p>
        </w:tc>
        <w:tc>
          <w:tcPr>
            <w:tcW w:type="dxa" w:w="39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Percentage paid far exceeds percentage of physical progress reported</w:t>
            </w:r>
          </w:p>
        </w:tc>
        <w:tc>
          <w:tcPr>
            <w:tcW w:type="dxa" w:w="28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Rule-based + regression residual on paid% vs. progress%</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Chronic delay / fund parking</w:t>
            </w:r>
          </w:p>
        </w:tc>
        <w:tc>
          <w:tcPr>
            <w:tcW w:type="dxa" w:w="39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Work sanctioned years ago, funds released, but never completed — no further activity</w:t>
            </w:r>
          </w:p>
        </w:tc>
        <w:tc>
          <w:tcPr>
            <w:tcW w:type="dxa" w:w="28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Survival analysis / time-since-last-update outliers</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Vendor concentration risk</w:t>
            </w:r>
          </w:p>
        </w:tc>
        <w:tc>
          <w:tcPr>
            <w:tcW w:type="dxa" w:w="39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One contractor wins a disproportionate share of works from one agency/MP</w:t>
            </w:r>
          </w:p>
        </w:tc>
        <w:tc>
          <w:tcPr>
            <w:tcW w:type="dxa" w:w="28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Graph centrality / Herfindahl concentration index</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Round-number / manipulated figures</w:t>
            </w:r>
          </w:p>
        </w:tc>
        <w:tc>
          <w:tcPr>
            <w:tcW w:type="dxa" w:w="39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Cost estimates or payments that cluster suspiciously on round numbers</w:t>
            </w:r>
          </w:p>
        </w:tc>
        <w:tc>
          <w:tcPr>
            <w:tcW w:type="dxa" w:w="28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Benford's Law digit-distribution test</w:t>
            </w:r>
          </w:p>
        </w:tc>
      </w:tr>
    </w:tbl>
    <w:p>
      <w:pPr>
        <w:pStyle w:val="Heading2"/>
        <w:spacing w:after="140" w:before="280"/>
      </w:pPr>
      <w:r>
        <w:rPr>
          <w:b/>
          <w:bCs/>
          <w:color w:val="2E5395"/>
          <w:sz w:val="24"/>
          <w:szCs w:val="24"/>
        </w:rPr>
        <w:t xml:space="preserve">1.4 Users and what each of them needs from the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Stakeholder</w:t>
            </w:r>
          </w:p>
        </w:tc>
        <w:tc>
          <w:tcPr>
            <w:tcW w:type="dxa" w:w="6950"/>
            <w:shd w:fill="1F3864" w:val="clear"/>
            <w:tcMar>
              <w:top w:type="dxa" w:w="80"/>
              <w:left w:type="dxa" w:w="100"/>
              <w:bottom w:type="dxa" w:w="80"/>
              <w:right w:type="dxa" w:w="100"/>
            </w:tcMar>
            <w:vAlign w:val="center"/>
          </w:tcPr>
          <w:p>
            <w:pPr>
              <w:jc w:val="left"/>
            </w:pPr>
            <w:r>
              <w:rPr>
                <w:b/>
                <w:bCs/>
                <w:color w:val="FFFFFF"/>
                <w:sz w:val="20"/>
                <w:szCs w:val="20"/>
              </w:rPr>
              <w:t xml:space="preserve">Primary need</w:t>
            </w:r>
          </w:p>
        </w:tc>
      </w:tr>
      <w:tr>
        <w:tc>
          <w:tcPr>
            <w:tcW w:type="dxa" w:w="2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Ministry (MoSPI / DIID)</w:t>
            </w:r>
          </w:p>
        </w:tc>
        <w:tc>
          <w:tcPr>
            <w:tcW w:type="dxa" w:w="6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National command-center view: aggregate risk heatmap by state/agency, policy-level trend reports, model performance oversight.</w:t>
            </w:r>
          </w:p>
        </w:tc>
      </w:tr>
      <w:tr>
        <w:tc>
          <w:tcPr>
            <w:tcW w:type="dxa" w:w="2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State Nodal Authority</w:t>
            </w:r>
          </w:p>
        </w:tc>
        <w:tc>
          <w:tcPr>
            <w:tcW w:type="dxa" w:w="6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State-level rollup of flagged works, ability to drill into districts, coordinate audits.</w:t>
            </w:r>
          </w:p>
        </w:tc>
      </w:tr>
      <w:tr>
        <w:tc>
          <w:tcPr>
            <w:tcW w:type="dxa" w:w="2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District Authority</w:t>
            </w:r>
          </w:p>
        </w:tc>
        <w:tc>
          <w:tcPr>
            <w:tcW w:type="dxa" w:w="6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Operational queue of flagged works in their district with evidence, so they can act before funds are released.</w:t>
            </w:r>
          </w:p>
        </w:tc>
      </w:tr>
      <w:tr>
        <w:tc>
          <w:tcPr>
            <w:tcW w:type="dxa" w:w="2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Members of Parliament / their office</w:t>
            </w:r>
          </w:p>
        </w:tc>
        <w:tc>
          <w:tcPr>
            <w:tcW w:type="dxa" w:w="6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Transparent view of their own constituency's works, fund utilisation %, and any flags on works they recommended — protects them as much as it polices agencies.</w:t>
            </w:r>
          </w:p>
        </w:tc>
      </w:tr>
      <w:tr>
        <w:tc>
          <w:tcPr>
            <w:tcW w:type="dxa" w:w="2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Auditors / CAG-style reviewers</w:t>
            </w:r>
          </w:p>
        </w:tc>
        <w:tc>
          <w:tcPr>
            <w:tcW w:type="dxa" w:w="6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Exportable, explainable evidence trail per flagged work for formal investigation.</w:t>
            </w:r>
          </w:p>
        </w:tc>
      </w:tr>
      <w:tr>
        <w:tc>
          <w:tcPr>
            <w:tcW w:type="dxa" w:w="2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Citizens (stretch goal)</w:t>
            </w:r>
          </w:p>
        </w:tc>
        <w:tc>
          <w:tcPr>
            <w:tcW w:type="dxa" w:w="6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Public transparency view of sanctioned works and completion status in their area.</w:t>
            </w:r>
          </w:p>
        </w:tc>
      </w:tr>
    </w:tbl>
    <w:p>
      <w:pPr>
        <w:pStyle w:val="Heading1"/>
        <w:pBdr>
          <w:bottom w:val="single" w:color="1F3864" w:sz="6" w:space="4"/>
        </w:pBdr>
        <w:spacing w:after="200" w:before="400"/>
      </w:pPr>
      <w:r>
        <w:rPr>
          <w:b/>
          <w:bCs/>
          <w:color w:val="1F3864"/>
          <w:sz w:val="30"/>
          <w:szCs w:val="30"/>
        </w:rPr>
        <w:t xml:space="preserve">2. Goals, Non-Goals &amp; Success Criteria</w:t>
      </w:r>
    </w:p>
    <w:p>
      <w:pPr>
        <w:pStyle w:val="Heading2"/>
        <w:spacing w:after="140" w:before="280"/>
      </w:pPr>
      <w:r>
        <w:rPr>
          <w:b/>
          <w:bCs/>
          <w:color w:val="2E5395"/>
          <w:sz w:val="24"/>
          <w:szCs w:val="24"/>
        </w:rPr>
        <w:t xml:space="preserve">2.1 Goals</w:t>
      </w:r>
    </w:p>
    <w:p>
      <w:pPr>
        <w:pStyle w:val="ListParagraph"/>
        <w:numPr>
          <w:ilvl w:val="0"/>
          <w:numId w:val="3"/>
        </w:numPr>
        <w:spacing w:after="100" w:line="264"/>
      </w:pPr>
      <w:r>
        <w:rPr>
          <w:color w:val="202020"/>
          <w:sz w:val="21"/>
          <w:szCs w:val="21"/>
        </w:rPr>
        <w:t xml:space="preserve">Ingest MPLADS work, sanction, expenditure, and progress data (from the public eSAKSHI dashboard and, where available, bulk/API sources) into a unified schema.</w:t>
      </w:r>
    </w:p>
    <w:p>
      <w:pPr>
        <w:pStyle w:val="ListParagraph"/>
        <w:numPr>
          <w:ilvl w:val="0"/>
          <w:numId w:val="3"/>
        </w:numPr>
        <w:spacing w:after="100" w:line="264"/>
      </w:pPr>
      <w:r>
        <w:rPr>
          <w:color w:val="202020"/>
          <w:sz w:val="21"/>
          <w:szCs w:val="21"/>
        </w:rPr>
        <w:t xml:space="preserve">Run a multi-layer detection pipeline — rule-based checks, statistical outlier detection, unsupervised ML, and graph analytics — to score every work/vendor/agency on a fraud &amp; inefficiency risk index.</w:t>
      </w:r>
    </w:p>
    <w:p>
      <w:pPr>
        <w:pStyle w:val="ListParagraph"/>
        <w:numPr>
          <w:ilvl w:val="0"/>
          <w:numId w:val="3"/>
        </w:numPr>
        <w:spacing w:after="100" w:line="264"/>
      </w:pPr>
      <w:r>
        <w:rPr>
          <w:color w:val="202020"/>
          <w:sz w:val="21"/>
          <w:szCs w:val="21"/>
        </w:rPr>
        <w:t xml:space="preserve">Present results as role-based dashboards with drill-down evidence, not just a black-box score.</w:t>
      </w:r>
    </w:p>
    <w:p>
      <w:pPr>
        <w:pStyle w:val="ListParagraph"/>
        <w:numPr>
          <w:ilvl w:val="0"/>
          <w:numId w:val="3"/>
        </w:numPr>
        <w:spacing w:after="100" w:line="264"/>
      </w:pPr>
      <w:r>
        <w:rPr>
          <w:color w:val="202020"/>
          <w:sz w:val="21"/>
          <w:szCs w:val="21"/>
        </w:rPr>
        <w:t xml:space="preserve">Generate automated alerts (in-app, email/SMS) for high-risk cases, with a feedback loop so investigators can confirm/reject flags and retrain the models.</w:t>
      </w:r>
    </w:p>
    <w:p>
      <w:pPr>
        <w:pStyle w:val="ListParagraph"/>
        <w:numPr>
          <w:ilvl w:val="0"/>
          <w:numId w:val="3"/>
        </w:numPr>
        <w:spacing w:after="100" w:line="264"/>
      </w:pPr>
      <w:r>
        <w:rPr>
          <w:color w:val="202020"/>
          <w:sz w:val="21"/>
          <w:szCs w:val="21"/>
        </w:rPr>
        <w:t xml:space="preserve">Provide trend and predictive analytics: state/agency-level risk trends over time, and early-warning prediction for works likely to become delayed or cost-overrun before they do.</w:t>
      </w:r>
    </w:p>
    <w:p>
      <w:pPr>
        <w:pStyle w:val="Heading2"/>
        <w:spacing w:after="140" w:before="280"/>
      </w:pPr>
      <w:r>
        <w:rPr>
          <w:b/>
          <w:bCs/>
          <w:color w:val="2E5395"/>
          <w:sz w:val="24"/>
          <w:szCs w:val="24"/>
        </w:rPr>
        <w:t xml:space="preserve">2.2 Non-goals (for the hackathon prototype)</w:t>
      </w:r>
    </w:p>
    <w:p>
      <w:pPr>
        <w:pStyle w:val="ListParagraph"/>
        <w:numPr>
          <w:ilvl w:val="0"/>
          <w:numId w:val="2"/>
        </w:numPr>
        <w:spacing w:after="80" w:line="264"/>
      </w:pPr>
      <w:r>
        <w:rPr>
          <w:b w:val="false"/>
          <w:bCs w:val="false"/>
          <w:color w:val="202020"/>
          <w:sz w:val="21"/>
          <w:szCs w:val="21"/>
        </w:rPr>
        <w:t xml:space="preserve">We will not get write access to government production systems — the prototype operates on data scraped/exported from the public dashboard plus synthetic data, and is designed to plug into real feeds later via API contracts.</w:t>
      </w:r>
    </w:p>
    <w:p>
      <w:pPr>
        <w:pStyle w:val="ListParagraph"/>
        <w:numPr>
          <w:ilvl w:val="0"/>
          <w:numId w:val="2"/>
        </w:numPr>
        <w:spacing w:after="80" w:line="264"/>
      </w:pPr>
      <w:r>
        <w:rPr>
          <w:b w:val="false"/>
          <w:bCs w:val="false"/>
          <w:color w:val="202020"/>
          <w:sz w:val="21"/>
          <w:szCs w:val="21"/>
        </w:rPr>
        <w:t xml:space="preserve">We are not building a payments or workflow-approval system — this is a monitoring/analytics layer that sits alongside existing MPLADS IT systems (eSAKSHI/PRAGATI-linked systems), not a replacement for them.</w:t>
      </w:r>
    </w:p>
    <w:p>
      <w:pPr>
        <w:pStyle w:val="ListParagraph"/>
        <w:numPr>
          <w:ilvl w:val="0"/>
          <w:numId w:val="2"/>
        </w:numPr>
        <w:spacing w:after="80" w:line="264"/>
      </w:pPr>
      <w:r>
        <w:rPr>
          <w:b w:val="false"/>
          <w:bCs w:val="false"/>
          <w:color w:val="202020"/>
          <w:sz w:val="21"/>
          <w:szCs w:val="21"/>
        </w:rPr>
        <w:t xml:space="preserve">Legal/criminal determination of fraud is out of scope — the system flags risk for human investigation, it does not adjudicate guilt.</w:t>
      </w:r>
    </w:p>
    <w:p>
      <w:pPr>
        <w:pStyle w:val="Heading2"/>
        <w:spacing w:after="140" w:before="280"/>
      </w:pPr>
      <w:r>
        <w:rPr>
          <w:b/>
          <w:bCs/>
          <w:color w:val="2E5395"/>
          <w:sz w:val="24"/>
          <w:szCs w:val="24"/>
        </w:rPr>
        <w:t xml:space="preserve">2.3 Success criteria for the demo</w:t>
      </w:r>
    </w:p>
    <w:p>
      <w:pPr>
        <w:pStyle w:val="ListParagraph"/>
        <w:numPr>
          <w:ilvl w:val="0"/>
          <w:numId w:val="2"/>
        </w:numPr>
        <w:spacing w:after="80" w:line="264"/>
      </w:pPr>
      <w:r>
        <w:rPr>
          <w:b w:val="false"/>
          <w:bCs w:val="false"/>
          <w:color w:val="202020"/>
          <w:sz w:val="21"/>
          <w:szCs w:val="21"/>
        </w:rPr>
        <w:t xml:space="preserve">Working ingestion pipeline pulling real MPLADS data for at least 2–3 states/years.</w:t>
      </w:r>
    </w:p>
    <w:p>
      <w:pPr>
        <w:pStyle w:val="ListParagraph"/>
        <w:numPr>
          <w:ilvl w:val="0"/>
          <w:numId w:val="2"/>
        </w:numPr>
        <w:spacing w:after="80" w:line="264"/>
      </w:pPr>
      <w:r>
        <w:rPr>
          <w:b w:val="false"/>
          <w:bCs w:val="false"/>
          <w:color w:val="202020"/>
          <w:sz w:val="21"/>
          <w:szCs w:val="21"/>
        </w:rPr>
        <w:t xml:space="preserve">At least 4 distinct detection techniques live (rule engine, statistical/ML outlier detection, duplicate/graph detection, predictive delay/overrun model) each demonstrably catching a planted or real anomaly.</w:t>
      </w:r>
    </w:p>
    <w:p>
      <w:pPr>
        <w:pStyle w:val="ListParagraph"/>
        <w:numPr>
          <w:ilvl w:val="0"/>
          <w:numId w:val="2"/>
        </w:numPr>
        <w:spacing w:after="80" w:line="264"/>
      </w:pPr>
      <w:r>
        <w:rPr>
          <w:b w:val="false"/>
          <w:bCs w:val="false"/>
          <w:color w:val="202020"/>
          <w:sz w:val="21"/>
          <w:szCs w:val="21"/>
        </w:rPr>
        <w:t xml:space="preserve">A dashboard that a judge can click through in under 3 minutes and understand exactly why a work was flagged.</w:t>
      </w:r>
    </w:p>
    <w:p>
      <w:pPr>
        <w:pStyle w:val="ListParagraph"/>
        <w:numPr>
          <w:ilvl w:val="0"/>
          <w:numId w:val="2"/>
        </w:numPr>
        <w:spacing w:after="80" w:line="264"/>
      </w:pPr>
      <w:r>
        <w:rPr>
          <w:b w:val="false"/>
          <w:bCs w:val="false"/>
          <w:color w:val="202020"/>
          <w:sz w:val="21"/>
          <w:szCs w:val="21"/>
        </w:rPr>
        <w:t xml:space="preserve">A clear extensibility story: how this scales from a prototype on public data to a production system ingesting live agency data nationwide.</w:t>
      </w:r>
    </w:p>
    <w:p>
      <w:pPr>
        <w:pStyle w:val="Heading1"/>
        <w:pBdr>
          <w:bottom w:val="single" w:color="1F3864" w:sz="6" w:space="4"/>
        </w:pBdr>
        <w:spacing w:after="200" w:before="400"/>
      </w:pPr>
      <w:r>
        <w:rPr>
          <w:b/>
          <w:bCs/>
          <w:color w:val="1F3864"/>
          <w:sz w:val="30"/>
          <w:szCs w:val="30"/>
        </w:rPr>
        <w:t xml:space="preserve">3. Data Understanding &amp; Acquisition Strategy</w:t>
      </w:r>
    </w:p>
    <w:p>
      <w:pPr>
        <w:pStyle w:val="Heading2"/>
        <w:spacing w:after="140" w:before="280"/>
      </w:pPr>
      <w:r>
        <w:rPr>
          <w:b/>
          <w:bCs/>
          <w:color w:val="2E5395"/>
          <w:sz w:val="24"/>
          <w:szCs w:val="24"/>
        </w:rPr>
        <w:t xml:space="preserve">3.1 What the official dataset actually offers</w:t>
      </w:r>
    </w:p>
    <w:p>
      <w:pPr>
        <w:spacing w:after="160" w:line="276"/>
      </w:pPr>
      <w:r>
        <w:rPr>
          <w:color w:val="202020"/>
          <w:sz w:val="21"/>
          <w:szCs w:val="21"/>
        </w:rPr>
        <w:t xml:space="preserve">The dataset link provided (mplads.mospi.gov.in/digigov/dashboard.html) is the public-facing eSAKSHI MPLADS dashboard. It exposes, at minimum: MP-wise work recommendations and sanctions, work status (recommended / sanctioned / in-progress / completed), state- and district-wise rollups, implementing-agency-wise breakdowns, annual entitlement and utilisation figures, and uploaded photographic/document evidence for individual works. Note the portal's own disclosed limitation: granular data is reliably available only from FY 2023–24 onward — earlier years are sparse. This must be stated explicitly in the pitch so judges know the constraint is real, not a shortcut.</w:t>
      </w:r>
    </w:p>
    <w:p>
      <w:pPr>
        <w:pStyle w:val="Heading2"/>
        <w:spacing w:after="140" w:before="280"/>
      </w:pPr>
      <w:r>
        <w:rPr>
          <w:b/>
          <w:bCs/>
          <w:color w:val="2E5395"/>
          <w:sz w:val="24"/>
          <w:szCs w:val="24"/>
        </w:rPr>
        <w:t xml:space="preserve">3.2 Two-track data plan (as agreed)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DCE6F1" w:val="clear"/>
            <w:tcMar>
              <w:top w:type="dxa" w:w="140"/>
              <w:left w:type="dxa" w:w="180"/>
              <w:bottom w:type="dxa" w:w="140"/>
              <w:right w:type="dxa" w:w="180"/>
            </w:tcMar>
          </w:tcPr>
          <w:p>
            <w:pPr>
              <w:spacing w:after="60"/>
            </w:pPr>
            <w:r>
              <w:rPr>
                <w:b/>
                <w:bCs/>
                <w:color w:val="1F3864"/>
                <w:sz w:val="21"/>
                <w:szCs w:val="21"/>
              </w:rPr>
              <w:t xml:space="preserve">Track A — Real public data</w:t>
            </w:r>
          </w:p>
          <w:p>
            <w:pPr>
              <w:spacing w:after="0"/>
            </w:pPr>
            <w:r>
              <w:rPr>
                <w:color w:val="202020"/>
                <w:sz w:val="20"/>
                <w:szCs w:val="20"/>
              </w:rPr>
              <w:t xml:space="preserve">Build a scheduled scraper/ETL against the eSAKSHI dashboard's rendered pages and any exposed JSON/XHR endpoints (inspect via browser dev tools/network tab first — many government dashboards call an internal API that returns JSON even though the page itself is server-rendered). Respect robots.txt and rate-limit politely. Normalize into the canonical schema in §3.3. This proves the pipeline works on the real thing.</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4F8A55" w:sz="4"/>
              <w:left w:val="single" w:color="4F8A55" w:sz="24"/>
              <w:bottom w:val="single" w:color="4F8A55" w:sz="4"/>
              <w:right w:val="single" w:color="4F8A55" w:sz="4"/>
            </w:tcBorders>
            <w:shd w:fill="E2EFDA" w:val="clear"/>
            <w:tcMar>
              <w:top w:type="dxa" w:w="140"/>
              <w:left w:type="dxa" w:w="180"/>
              <w:bottom w:type="dxa" w:w="140"/>
              <w:right w:type="dxa" w:w="180"/>
            </w:tcMar>
          </w:tcPr>
          <w:p>
            <w:pPr>
              <w:spacing w:after="60"/>
            </w:pPr>
            <w:r>
              <w:rPr>
                <w:b/>
                <w:bCs/>
                <w:color w:val="1F3864"/>
                <w:sz w:val="21"/>
                <w:szCs w:val="21"/>
              </w:rPr>
              <w:t xml:space="preserve">Track B — Synthetic augmentation</w:t>
            </w:r>
          </w:p>
          <w:p>
            <w:pPr>
              <w:spacing w:after="0"/>
            </w:pPr>
            <w:r>
              <w:rPr>
                <w:color w:val="202020"/>
                <w:sz w:val="20"/>
                <w:szCs w:val="20"/>
              </w:rPr>
              <w:t xml:space="preserve">Because fraud is rare and unlabeled in real data, generate a synthetic layer on top of the real schema: (a) realistic “clean” works sampled from real distributions (cost-per-km of road, cost-per-sqft of building, typical timelines) using Faker + domain rules, and (b) deliberately injected anomalies (5–10% of records) covering every pattern in §1.3 with ground-truth labels. This is what lets you compute precision/recall for the demo — you cannot claim a fraud-detection accuracy number on unlabeled real data, but you can prove your models correctly recover injected anomalies at a known rate, which is a legitimate and judge-defensible way to validate.</w:t>
            </w:r>
          </w:p>
        </w:tc>
      </w:tr>
    </w:tbl>
    <w:p>
      <w:pPr>
        <w:pStyle w:val="Heading2"/>
        <w:spacing w:after="140" w:before="280"/>
      </w:pPr>
      <w:r>
        <w:rPr>
          <w:b/>
          <w:bCs/>
          <w:color w:val="2E5395"/>
          <w:sz w:val="24"/>
          <w:szCs w:val="24"/>
        </w:rPr>
        <w:t xml:space="preserve">3.3 Canonical data model (target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5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sz w:val="20"/>
                <w:szCs w:val="20"/>
              </w:rPr>
              <w:t xml:space="preserve">Entity</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Key fields</w:t>
            </w:r>
          </w:p>
        </w:tc>
        <w:tc>
          <w:tcPr>
            <w:tcW w:type="dxa" w:w="4950"/>
            <w:shd w:fill="1F3864"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Work</w:t>
            </w:r>
          </w:p>
        </w:tc>
        <w:tc>
          <w:tcPr>
            <w:tcW w:type="dxa" w:w="21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work_id, mp_id, constituency, state, district, agency_id, category, description, geo_lat, geo_lon, sanctioned_cost, recommended_date, sanction_date, status, completion_date</w:t>
            </w:r>
          </w:p>
        </w:tc>
        <w:tc>
          <w:tcPr>
            <w:tcW w:type="dxa" w:w="4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One row per sanctioned work — the central fact table</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Payment</w:t>
            </w:r>
          </w:p>
        </w:tc>
        <w:tc>
          <w:tcPr>
            <w:tcW w:type="dxa" w:w="21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payment_id, work_id, amount, date, vendor_id, mode, installment_no</w:t>
            </w:r>
          </w:p>
        </w:tc>
        <w:tc>
          <w:tcPr>
            <w:tcW w:type="dxa" w:w="4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Multiple payments can map to one work</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Progress Update</w:t>
            </w:r>
          </w:p>
        </w:tc>
        <w:tc>
          <w:tcPr>
            <w:tcW w:type="dxa" w:w="21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update_id, work_id, date, pct_physical_progress, photo_url, remarks</w:t>
            </w:r>
          </w:p>
        </w:tc>
        <w:tc>
          <w:tcPr>
            <w:tcW w:type="dxa" w:w="4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Time series per work — basis for delay/stagnation detection</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MP</w:t>
            </w:r>
          </w:p>
        </w:tc>
        <w:tc>
          <w:tcPr>
            <w:tcW w:type="dxa" w:w="21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mp_id, name, house (LS/RS), state, constituency, term_start, term_end, annual_entitlement</w:t>
            </w:r>
          </w:p>
        </w:tc>
        <w:tc>
          <w:tcPr>
            <w:tcW w:type="dxa" w:w="4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Reference dimension</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Agency</w:t>
            </w:r>
          </w:p>
        </w:tc>
        <w:tc>
          <w:tcPr>
            <w:tcW w:type="dxa" w:w="21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agency_id, name, type (PWD/Municipal/NGO/etc.), district, state</w:t>
            </w:r>
          </w:p>
        </w:tc>
        <w:tc>
          <w:tcPr>
            <w:tcW w:type="dxa" w:w="4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Reference dimension</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Vendor/Contractor</w:t>
            </w:r>
          </w:p>
        </w:tc>
        <w:tc>
          <w:tcPr>
            <w:tcW w:type="dxa" w:w="21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vendor_id, name, pan_hash, agency_ids[], total_works, total_value</w:t>
            </w:r>
          </w:p>
        </w:tc>
        <w:tc>
          <w:tcPr>
            <w:tcW w:type="dxa" w:w="4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Built via entity resolution — rarely given as a clean field</w:t>
            </w:r>
          </w:p>
        </w:tc>
      </w:tr>
    </w:tbl>
    <w:p>
      <w:pPr>
        <w:pStyle w:val="Heading2"/>
        <w:spacing w:after="140" w:before="280"/>
      </w:pPr>
      <w:r>
        <w:rPr>
          <w:b/>
          <w:bCs/>
          <w:color w:val="2E5395"/>
          <w:sz w:val="24"/>
          <w:szCs w:val="24"/>
        </w:rPr>
        <w:t xml:space="preserve">3.4 Data quality handling</w:t>
      </w:r>
    </w:p>
    <w:p>
      <w:pPr>
        <w:pStyle w:val="ListParagraph"/>
        <w:numPr>
          <w:ilvl w:val="0"/>
          <w:numId w:val="2"/>
        </w:numPr>
        <w:spacing w:after="80" w:line="264"/>
      </w:pPr>
      <w:r>
        <w:rPr>
          <w:b w:val="false"/>
          <w:bCs w:val="false"/>
          <w:color w:val="202020"/>
          <w:sz w:val="21"/>
          <w:szCs w:val="21"/>
        </w:rPr>
        <w:t xml:space="preserve">Entity resolution: vendor/contractor names in government data are inconsistently spelled — use fuzzy matching (RapidFuzz / Splink) plus PAN or registration-number hashing where available to consolidate identities before graph analysis.</w:t>
      </w:r>
    </w:p>
    <w:p>
      <w:pPr>
        <w:pStyle w:val="ListParagraph"/>
        <w:numPr>
          <w:ilvl w:val="0"/>
          <w:numId w:val="2"/>
        </w:numPr>
        <w:spacing w:after="80" w:line="264"/>
      </w:pPr>
      <w:r>
        <w:rPr>
          <w:b w:val="false"/>
          <w:bCs w:val="false"/>
          <w:color w:val="202020"/>
          <w:sz w:val="21"/>
          <w:szCs w:val="21"/>
        </w:rPr>
        <w:t xml:space="preserve">Geocoding validation: cross-check declared district/state against reverse-geocoded GPS coordinates from photo EXIF or declared lat/long to catch location mismatches.</w:t>
      </w:r>
    </w:p>
    <w:p>
      <w:pPr>
        <w:pStyle w:val="ListParagraph"/>
        <w:numPr>
          <w:ilvl w:val="0"/>
          <w:numId w:val="2"/>
        </w:numPr>
        <w:spacing w:after="80" w:line="264"/>
      </w:pPr>
      <w:r>
        <w:rPr>
          <w:b w:val="false"/>
          <w:bCs w:val="false"/>
          <w:color w:val="202020"/>
          <w:sz w:val="21"/>
          <w:szCs w:val="21"/>
        </w:rPr>
        <w:t xml:space="preserve">Missing-data strategy: flag (don't silently impute) records missing cost, photo evidence, or progress updates for more than a defined threshold — missingness itself is a weak signal worth surfacing.</w:t>
      </w:r>
    </w:p>
    <w:p>
      <w:pPr>
        <w:pStyle w:val="Heading1"/>
        <w:pBdr>
          <w:bottom w:val="single" w:color="1F3864" w:sz="6" w:space="4"/>
        </w:pBdr>
        <w:spacing w:after="200" w:before="400"/>
      </w:pPr>
      <w:r>
        <w:rPr>
          <w:b/>
          <w:bCs/>
          <w:color w:val="1F3864"/>
          <w:sz w:val="30"/>
          <w:szCs w:val="30"/>
        </w:rPr>
        <w:t xml:space="preserve">4. System Architecture</w:t>
      </w:r>
    </w:p>
    <w:p>
      <w:pPr>
        <w:pStyle w:val="Heading2"/>
        <w:spacing w:after="140" w:before="280"/>
      </w:pPr>
      <w:r>
        <w:rPr>
          <w:b/>
          <w:bCs/>
          <w:color w:val="2E5395"/>
          <w:sz w:val="24"/>
          <w:szCs w:val="24"/>
        </w:rPr>
        <w:t xml:space="preserve">4.1 High-level layered architecture</w:t>
      </w:r>
    </w:p>
    <w:p>
      <w:pPr>
        <w:spacing w:after="160" w:line="276"/>
      </w:pPr>
      <w:r>
        <w:rPr>
          <w:color w:val="202020"/>
          <w:sz w:val="21"/>
          <w:szCs w:val="21"/>
        </w:rPr>
        <w:t xml:space="preserve">The platform is organized in six layers, each independently scalable and independently demoable — useful both for engineering sanity and for structuring the SIH pitch itself:</w:t>
      </w:r>
    </w:p>
    <w:p>
      <w:pPr>
        <w:pStyle w:val="ListParagraph"/>
        <w:numPr>
          <w:ilvl w:val="0"/>
          <w:numId w:val="4"/>
        </w:numPr>
        <w:spacing w:after="100" w:line="264"/>
      </w:pPr>
      <w:r>
        <w:rPr>
          <w:color w:val="202020"/>
          <w:sz w:val="21"/>
          <w:szCs w:val="21"/>
        </w:rPr>
        <w:t xml:space="preserve">Data Ingestion Layer — scrapers/connectors + batch upload for offline datasets (CSV/Excel from RTI responses, state portals) + synthetic data generator.</w:t>
      </w:r>
    </w:p>
    <w:p>
      <w:pPr>
        <w:pStyle w:val="ListParagraph"/>
        <w:numPr>
          <w:ilvl w:val="0"/>
          <w:numId w:val="4"/>
        </w:numPr>
        <w:spacing w:after="100" w:line="264"/>
      </w:pPr>
      <w:r>
        <w:rPr>
          <w:color w:val="202020"/>
          <w:sz w:val="21"/>
          <w:szCs w:val="21"/>
        </w:rPr>
        <w:t xml:space="preserve">Data Processing &amp; Feature Store — cleaning, entity resolution, feature engineering (cost-per-unit-by-category, days-since-last-update, vendor concentration, geo-clusters), stored in a queryable feature store.</w:t>
      </w:r>
    </w:p>
    <w:p>
      <w:pPr>
        <w:pStyle w:val="ListParagraph"/>
        <w:numPr>
          <w:ilvl w:val="0"/>
          <w:numId w:val="4"/>
        </w:numPr>
        <w:spacing w:after="100" w:line="264"/>
      </w:pPr>
      <w:r>
        <w:rPr>
          <w:color w:val="202020"/>
          <w:sz w:val="21"/>
          <w:szCs w:val="21"/>
        </w:rPr>
        <w:t xml:space="preserve">Detection &amp; Intelligence Layer — rule engine, statistical/ML anomaly models, graph analytics, NLP on unstructured remarks/documents, predictive models — detailed in §5.</w:t>
      </w:r>
    </w:p>
    <w:p>
      <w:pPr>
        <w:pStyle w:val="ListParagraph"/>
        <w:numPr>
          <w:ilvl w:val="0"/>
          <w:numId w:val="4"/>
        </w:numPr>
        <w:spacing w:after="100" w:line="264"/>
      </w:pPr>
      <w:r>
        <w:rPr>
          <w:color w:val="202020"/>
          <w:sz w:val="21"/>
          <w:szCs w:val="21"/>
        </w:rPr>
        <w:t xml:space="preserve">Risk Scoring &amp; Explainability Layer — combines all detector outputs into one calibrated Composite Risk Score per work/vendor/agency, with SHAP-based reasons attached to every score.</w:t>
      </w:r>
    </w:p>
    <w:p>
      <w:pPr>
        <w:pStyle w:val="ListParagraph"/>
        <w:numPr>
          <w:ilvl w:val="0"/>
          <w:numId w:val="4"/>
        </w:numPr>
        <w:spacing w:after="100" w:line="264"/>
      </w:pPr>
      <w:r>
        <w:rPr>
          <w:color w:val="202020"/>
          <w:sz w:val="21"/>
          <w:szCs w:val="21"/>
        </w:rPr>
        <w:t xml:space="preserve">Alerting &amp; Workflow Layer — rules that convert high scores into alerts, routed to the right role, with an acknowledge/investigate/dismiss feedback loop that feeds back into model retraining.</w:t>
      </w:r>
    </w:p>
    <w:p>
      <w:pPr>
        <w:pStyle w:val="ListParagraph"/>
        <w:numPr>
          <w:ilvl w:val="0"/>
          <w:numId w:val="4"/>
        </w:numPr>
        <w:spacing w:after="100" w:line="264"/>
      </w:pPr>
      <w:r>
        <w:rPr>
          <w:color w:val="202020"/>
          <w:sz w:val="21"/>
          <w:szCs w:val="21"/>
        </w:rPr>
        <w:t xml:space="preserve">Presentation Layer — role-based web dashboards + REST/GraphQL API for any future integration with official MPLADS/PRAGATI systems.</w:t>
      </w:r>
    </w:p>
    <w:p>
      <w:pPr>
        <w:pStyle w:val="Heading2"/>
        <w:spacing w:after="140" w:before="280"/>
      </w:pPr>
      <w:r>
        <w:rPr>
          <w:b/>
          <w:bCs/>
          <w:color w:val="2E5395"/>
          <w:sz w:val="24"/>
          <w:szCs w:val="24"/>
        </w:rPr>
        <w:t xml:space="preserve">4.2 Architecture diagram (textual)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504D" w:sz="4"/>
              <w:left w:val="single" w:color="C0504D" w:sz="24"/>
              <w:bottom w:val="single" w:color="C0504D" w:sz="4"/>
              <w:right w:val="single" w:color="C0504D" w:sz="4"/>
            </w:tcBorders>
            <w:shd w:fill="FBE4D5" w:val="clear"/>
            <w:tcMar>
              <w:top w:type="dxa" w:w="140"/>
              <w:left w:type="dxa" w:w="180"/>
              <w:bottom w:type="dxa" w:w="140"/>
              <w:right w:type="dxa" w:w="180"/>
            </w:tcMar>
          </w:tcPr>
          <w:p>
            <w:pPr>
              <w:spacing w:after="60"/>
            </w:pPr>
            <w:r>
              <w:rPr>
                <w:b/>
                <w:bCs/>
                <w:color w:val="1F3864"/>
                <w:sz w:val="21"/>
                <w:szCs w:val="21"/>
              </w:rPr>
              <w:t xml:space="preserve">Data flow</w:t>
            </w:r>
          </w:p>
          <w:p>
            <w:pPr>
              <w:spacing w:after="0"/>
            </w:pPr>
            <w:r>
              <w:rPr>
                <w:color w:val="202020"/>
                <w:sz w:val="20"/>
                <w:szCs w:val="20"/>
              </w:rPr>
              <w:t xml:space="preserve">[eSAKSHI Dashboard scraper] + [Manual/bulk CSV upload] + [Synthetic generator]
        ↓
[Ingestion service (Airflow/Prefect scheduled jobs)] → [Raw zone (S3/MinIO)]
        ↓
[ETL / cleaning / entity resolution (PySpark or Pandas+Dask)] → [Curated zone (Postgres/PostGIS)]
        ↓
[Feature engineering] → [Feature store (Postgres tables / Feast)]
        ↓
[Detection engines: Rules | Isolation Forest/Autoencoder | Graph (Neo4j/NetworkX) | NLP (transformers) | Time-series/Prophet]
        ↓
[Risk aggregation service (weighted ensemble + SHAP explainability)] → [Alerts DB]
        ↓
[FastAPI backend] → [React dashboard] + [Alert notifications: Email/SMS/WhatsApp API]</w:t>
            </w:r>
          </w:p>
        </w:tc>
      </w:tr>
    </w:tbl>
    <w:p>
      <w:pPr>
        <w:pStyle w:val="Heading2"/>
        <w:spacing w:after="140" w:before="280"/>
      </w:pPr>
      <w:r>
        <w:rPr>
          <w:b/>
          <w:bCs/>
          <w:color w:val="2E5395"/>
          <w:sz w:val="24"/>
          <w:szCs w:val="24"/>
        </w:rPr>
        <w:t xml:space="preserve">4.3 Design principles</w:t>
      </w:r>
    </w:p>
    <w:p>
      <w:pPr>
        <w:pStyle w:val="ListParagraph"/>
        <w:numPr>
          <w:ilvl w:val="0"/>
          <w:numId w:val="2"/>
        </w:numPr>
        <w:spacing w:after="80" w:line="264"/>
      </w:pPr>
      <w:r>
        <w:rPr>
          <w:b w:val="false"/>
          <w:bCs w:val="false"/>
          <w:color w:val="202020"/>
          <w:sz w:val="21"/>
          <w:szCs w:val="21"/>
        </w:rPr>
        <w:t xml:space="preserve">Explainable by default — every flag ships with the specific rule or feature contribution that triggered it; a judge (or a real auditor) should never see a bare number with no reason.</w:t>
      </w:r>
    </w:p>
    <w:p>
      <w:pPr>
        <w:pStyle w:val="ListParagraph"/>
        <w:numPr>
          <w:ilvl w:val="0"/>
          <w:numId w:val="2"/>
        </w:numPr>
        <w:spacing w:after="80" w:line="264"/>
      </w:pPr>
      <w:r>
        <w:rPr>
          <w:b w:val="false"/>
          <w:bCs w:val="false"/>
          <w:color w:val="202020"/>
          <w:sz w:val="21"/>
          <w:szCs w:val="21"/>
        </w:rPr>
        <w:t xml:space="preserve">Human-in-the-loop — the system never auto-blocks a payment; it raises risk and routes for human review, which is both the ethical and the politically realistic design for a government scheme.</w:t>
      </w:r>
    </w:p>
    <w:p>
      <w:pPr>
        <w:pStyle w:val="ListParagraph"/>
        <w:numPr>
          <w:ilvl w:val="0"/>
          <w:numId w:val="2"/>
        </w:numPr>
        <w:spacing w:after="80" w:line="264"/>
      </w:pPr>
      <w:r>
        <w:rPr>
          <w:b w:val="false"/>
          <w:bCs w:val="false"/>
          <w:color w:val="202020"/>
          <w:sz w:val="21"/>
          <w:szCs w:val="21"/>
        </w:rPr>
        <w:t xml:space="preserve">Composable detectors — each detection technique is an independent scored plugin so new fraud patterns can be added without re-architecting the pipeline.</w:t>
      </w:r>
    </w:p>
    <w:p>
      <w:pPr>
        <w:pStyle w:val="ListParagraph"/>
        <w:numPr>
          <w:ilvl w:val="0"/>
          <w:numId w:val="2"/>
        </w:numPr>
        <w:spacing w:after="80" w:line="264"/>
      </w:pPr>
      <w:r>
        <w:rPr>
          <w:b w:val="false"/>
          <w:bCs w:val="false"/>
          <w:color w:val="202020"/>
          <w:sz w:val="21"/>
          <w:szCs w:val="21"/>
        </w:rPr>
        <w:t xml:space="preserve">API-first — the platform is built to eventually receive live feeds from actual MPLADS/PFMS systems via API rather than scraping, so the ingestion layer is designed with a swappable connector interface.</w:t>
      </w:r>
    </w:p>
    <w:p>
      <w:pPr>
        <w:pStyle w:val="Heading1"/>
        <w:pBdr>
          <w:bottom w:val="single" w:color="1F3864" w:sz="6" w:space="4"/>
        </w:pBdr>
        <w:spacing w:after="200" w:before="400"/>
      </w:pPr>
      <w:r>
        <w:rPr>
          <w:b/>
          <w:bCs/>
          <w:color w:val="1F3864"/>
          <w:sz w:val="30"/>
          <w:szCs w:val="30"/>
        </w:rPr>
        <w:t xml:space="preserve">5. AI / ML Methodology</w:t>
      </w:r>
    </w:p>
    <w:p>
      <w:pPr>
        <w:spacing w:after="160" w:line="276"/>
      </w:pPr>
      <w:r>
        <w:rPr>
          <w:color w:val="202020"/>
          <w:sz w:val="21"/>
          <w:szCs w:val="21"/>
        </w:rPr>
        <w:t xml:space="preserve">A single model cannot catch all the patterns in §1.3 — they have fundamentally different statistical signatures. The platform therefore runs several purpose-built detectors in parallel and combines them, which is both more accurate and much easier to explain to non-technical stakeholders and judges.</w:t>
      </w:r>
    </w:p>
    <w:p>
      <w:pPr>
        <w:pStyle w:val="Heading2"/>
        <w:spacing w:after="140" w:before="280"/>
      </w:pPr>
      <w:r>
        <w:rPr>
          <w:b/>
          <w:bCs/>
          <w:color w:val="2E5395"/>
          <w:sz w:val="24"/>
          <w:szCs w:val="24"/>
        </w:rPr>
        <w:t xml:space="preserve">5.1 Rule-based / deterministic layer (foundation)</w:t>
      </w:r>
    </w:p>
    <w:p>
      <w:pPr>
        <w:spacing w:after="160" w:line="276"/>
      </w:pPr>
      <w:r>
        <w:rPr>
          <w:color w:val="202020"/>
          <w:sz w:val="21"/>
          <w:szCs w:val="21"/>
        </w:rPr>
        <w:t xml:space="preserve">Cheap, fully explainable, catches the “obvious” cases and provides labeled examples to bootstrap the ML layer. Examples: paid% &gt; progress% + 15 points; work “completed” with zero photos; cost &gt; 3× the median cost for that work category+state; work idle (no progress update) for &gt; 180 days while marked “in progress.”</w:t>
      </w:r>
    </w:p>
    <w:p>
      <w:pPr>
        <w:pStyle w:val="Heading2"/>
        <w:spacing w:after="140" w:before="280"/>
      </w:pPr>
      <w:r>
        <w:rPr>
          <w:b/>
          <w:bCs/>
          <w:color w:val="2E5395"/>
          <w:sz w:val="24"/>
          <w:szCs w:val="24"/>
        </w:rPr>
        <w:t xml:space="preserve">5.2 Statistical &amp; unsupervised ML — outlier and cost-anomaly detection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Technique</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What it's for</w:t>
            </w:r>
          </w:p>
        </w:tc>
        <w:tc>
          <w:tcPr>
            <w:tcW w:type="dxa" w:w="3350"/>
            <w:shd w:fill="1F3864" w:val="clear"/>
            <w:tcMar>
              <w:top w:type="dxa" w:w="80"/>
              <w:left w:type="dxa" w:w="100"/>
              <w:bottom w:type="dxa" w:w="80"/>
              <w:right w:type="dxa" w:w="100"/>
            </w:tcMar>
            <w:vAlign w:val="center"/>
          </w:tcPr>
          <w:p>
            <w:pPr>
              <w:jc w:val="left"/>
            </w:pPr>
            <w:r>
              <w:rPr>
                <w:b/>
                <w:bCs/>
                <w:color w:val="FFFFFF"/>
                <w:sz w:val="20"/>
                <w:szCs w:val="20"/>
              </w:rPr>
              <w:t xml:space="preserve">Why this one</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Isolation Forest</w:t>
            </w:r>
          </w:p>
        </w:tc>
        <w:tc>
          <w:tcPr>
            <w:tcW w:type="dxa" w:w="3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Multivariate outliers across cost, timeline, agency, category features</w:t>
            </w:r>
          </w:p>
        </w:tc>
        <w:tc>
          <w:tcPr>
            <w:tcW w:type="dxa" w:w="33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Fast, no distributional assumptions, industry-standard for tabular fraud/anomaly work</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Autoencoder (Keras/PyTorch)</w:t>
            </w:r>
          </w:p>
        </w:tc>
        <w:tc>
          <w:tcPr>
            <w:tcW w:type="dxa" w:w="3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Learns “normal” work profiles; high reconstruction error = anomaly</w:t>
            </w:r>
          </w:p>
        </w:tc>
        <w:tc>
          <w:tcPr>
            <w:tcW w:type="dxa" w:w="33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Captures nonlinear interactions rule-based checks miss</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DBSCAN / HDBSCAN clustering</w:t>
            </w:r>
          </w:p>
        </w:tc>
        <w:tc>
          <w:tcPr>
            <w:tcW w:type="dxa" w:w="3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Groups similar works by cost/category/region to define “peer group” baselines</w:t>
            </w:r>
          </w:p>
        </w:tc>
        <w:tc>
          <w:tcPr>
            <w:tcW w:type="dxa" w:w="33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Needed so cost outliers are compared to the right peer group, not a national average</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Benford's Law digit test</w:t>
            </w:r>
          </w:p>
        </w:tc>
        <w:tc>
          <w:tcPr>
            <w:tcW w:type="dxa" w:w="3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Flags cost/payment figures with unnatural leading-digit distributions</w:t>
            </w:r>
          </w:p>
        </w:tc>
        <w:tc>
          <w:tcPr>
            <w:tcW w:type="dxa" w:w="33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Classic, judge-recognisable forensic-accounting technique</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Prophet / ARIMA time-series</w:t>
            </w:r>
          </w:p>
        </w:tc>
        <w:tc>
          <w:tcPr>
            <w:tcW w:type="dxa" w:w="3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Detects unusual spikes in expenditure velocity per agency/state over time</w:t>
            </w:r>
          </w:p>
        </w:tc>
        <w:tc>
          <w:tcPr>
            <w:tcW w:type="dxa" w:w="33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Turns “trend analysis” requirement into a concrete deliverable</w:t>
            </w:r>
          </w:p>
        </w:tc>
      </w:tr>
    </w:tbl>
    <w:p>
      <w:pPr>
        <w:pStyle w:val="Heading2"/>
        <w:spacing w:after="140" w:before="280"/>
      </w:pPr>
      <w:r>
        <w:rPr>
          <w:b/>
          <w:bCs/>
          <w:color w:val="2E5395"/>
          <w:sz w:val="24"/>
          <w:szCs w:val="24"/>
        </w:rPr>
        <w:t xml:space="preserve">5.3 Graph analytics — duplicate works &amp; vendor/network fraud</w:t>
      </w:r>
    </w:p>
    <w:p>
      <w:pPr>
        <w:spacing w:after="160" w:line="276"/>
      </w:pPr>
      <w:r>
        <w:rPr>
          <w:color w:val="202020"/>
          <w:sz w:val="21"/>
          <w:szCs w:val="21"/>
        </w:rPr>
        <w:t xml:space="preserve">Model works, vendors, agencies, and MPs as a heterogeneous graph (Neo4j or NetworkX for the prototype). This directly targets patterns that tabular models miss:</w:t>
      </w:r>
    </w:p>
    <w:p>
      <w:pPr>
        <w:pStyle w:val="ListParagraph"/>
        <w:numPr>
          <w:ilvl w:val="0"/>
          <w:numId w:val="2"/>
        </w:numPr>
        <w:spacing w:after="80" w:line="264"/>
      </w:pPr>
      <w:r>
        <w:rPr>
          <w:b w:val="false"/>
          <w:bCs w:val="false"/>
          <w:color w:val="202020"/>
          <w:sz w:val="21"/>
          <w:szCs w:val="21"/>
        </w:rPr>
        <w:t xml:space="preserve">Near-duplicate detection: works with matching/near-matching GPS + description + timeframe — flags phantom or double-billed works.</w:t>
      </w:r>
    </w:p>
    <w:p>
      <w:pPr>
        <w:pStyle w:val="ListParagraph"/>
        <w:numPr>
          <w:ilvl w:val="0"/>
          <w:numId w:val="2"/>
        </w:numPr>
        <w:spacing w:after="80" w:line="264"/>
      </w:pPr>
      <w:r>
        <w:rPr>
          <w:b w:val="false"/>
          <w:bCs w:val="false"/>
          <w:color w:val="202020"/>
          <w:sz w:val="21"/>
          <w:szCs w:val="21"/>
        </w:rPr>
        <w:t xml:space="preserve">Vendor concentration: graph centrality / Herfindahl index per agency to flag a contractor winning a suspicious share of an agency's works.</w:t>
      </w:r>
    </w:p>
    <w:p>
      <w:pPr>
        <w:pStyle w:val="ListParagraph"/>
        <w:numPr>
          <w:ilvl w:val="0"/>
          <w:numId w:val="2"/>
        </w:numPr>
        <w:spacing w:after="80" w:line="264"/>
      </w:pPr>
      <w:r>
        <w:rPr>
          <w:b w:val="false"/>
          <w:bCs w:val="false"/>
          <w:color w:val="202020"/>
          <w:sz w:val="21"/>
          <w:szCs w:val="21"/>
        </w:rPr>
        <w:t xml:space="preserve">Collusion rings: community detection (Louvain) to surface tight clusters of agency–vendor–MP relationships worth a closer look.</w:t>
      </w:r>
    </w:p>
    <w:p>
      <w:pPr>
        <w:pStyle w:val="Heading2"/>
        <w:spacing w:after="140" w:before="280"/>
      </w:pPr>
      <w:r>
        <w:rPr>
          <w:b/>
          <w:bCs/>
          <w:color w:val="2E5395"/>
          <w:sz w:val="24"/>
          <w:szCs w:val="24"/>
        </w:rPr>
        <w:t xml:space="preserve">5.4 NLP on unstructured fields</w:t>
      </w:r>
    </w:p>
    <w:p>
      <w:pPr>
        <w:spacing w:after="160" w:line="276"/>
      </w:pPr>
      <w:r>
        <w:rPr>
          <w:color w:val="202020"/>
          <w:sz w:val="21"/>
          <w:szCs w:val="21"/>
        </w:rPr>
        <w:t xml:space="preserve">Work descriptions, remarks fields, and any scanned sanction-order/PDF text are rich but unstructured. Apply: text similarity (sentence-transformers embeddings + cosine similarity) to catch duplicate/boilerplate work descriptions reused to justify separate sanctions; and, as a stretch goal, OCR (Tesseract / cloud Vision API) on uploaded sanction-order and completion-certificate images to cross-check stated amounts against the structured payment record.</w:t>
      </w:r>
    </w:p>
    <w:p>
      <w:pPr>
        <w:pStyle w:val="Heading2"/>
        <w:spacing w:after="140" w:before="280"/>
      </w:pPr>
      <w:r>
        <w:rPr>
          <w:b/>
          <w:bCs/>
          <w:color w:val="2E5395"/>
          <w:sz w:val="24"/>
          <w:szCs w:val="24"/>
        </w:rPr>
        <w:t xml:space="preserve">5.5 Predictive / early-warning models</w:t>
      </w:r>
    </w:p>
    <w:p>
      <w:pPr>
        <w:spacing w:after="160" w:line="276"/>
      </w:pPr>
      <w:r>
        <w:rPr>
          <w:color w:val="202020"/>
          <w:sz w:val="21"/>
          <w:szCs w:val="21"/>
        </w:rPr>
        <w:t xml:space="preserve">Beyond detecting anomalies that already happened, train a supervised classifier (Gradient Boosting — XGBoost/LightGBM) on the synthetic-labeled + rule-flagged history to predict, at sanction time, the probability a new work will become delayed or cost-overrun — this is what makes the platform “predictive,” not just retrospective, directly answering the problem statement's call for predictive insights.</w:t>
      </w:r>
    </w:p>
    <w:p>
      <w:pPr>
        <w:pStyle w:val="Heading2"/>
        <w:spacing w:after="140" w:before="280"/>
      </w:pPr>
      <w:r>
        <w:rPr>
          <w:b/>
          <w:bCs/>
          <w:color w:val="2E5395"/>
          <w:sz w:val="24"/>
          <w:szCs w:val="24"/>
        </w:rPr>
        <w:t xml:space="preserve">5.6 Fusion: the Composite Risk Score</w:t>
      </w:r>
    </w:p>
    <w:p>
      <w:pPr>
        <w:spacing w:after="160" w:line="276"/>
      </w:pPr>
      <w:r>
        <w:rPr>
          <w:color w:val="202020"/>
          <w:sz w:val="21"/>
          <w:szCs w:val="21"/>
        </w:rPr>
        <w:t xml:space="preserve">Each detector outputs a normalized 0–100 sub-score. A weighted ensemble (weights tunable per stakeholder — e.g. Ministry may weight vendor-concentration higher, a District Authority may weight delay higher) combines them into one Composite Risk Score per work, plus separate rolled-up scores per vendor and per agency. SHAP values on the final ensemble (or simply surfacing which sub-detector fired and by how much) give every score a one-line human-readable reason, e.g. “Flagged: cost is 4.1× the peer median for this work category in this district, and progress has not been updated in 227 days.”</w:t>
      </w:r>
    </w:p>
    <w:p>
      <w:pPr>
        <w:pStyle w:val="Heading1"/>
        <w:pBdr>
          <w:bottom w:val="single" w:color="1F3864" w:sz="6" w:space="4"/>
        </w:pBdr>
        <w:spacing w:after="200" w:before="400"/>
      </w:pPr>
      <w:r>
        <w:rPr>
          <w:b/>
          <w:bCs/>
          <w:color w:val="1F3864"/>
          <w:sz w:val="30"/>
          <w:szCs w:val="30"/>
        </w:rPr>
        <w:t xml:space="preserve">6. Technology Stack</w:t>
      </w:r>
    </w:p>
    <w:p>
      <w:pPr>
        <w:pStyle w:val="Heading2"/>
        <w:spacing w:after="140" w:before="280"/>
      </w:pPr>
      <w:r>
        <w:rPr>
          <w:b/>
          <w:bCs/>
          <w:color w:val="2E5395"/>
          <w:sz w:val="24"/>
          <w:szCs w:val="24"/>
        </w:rPr>
        <w:t xml:space="preserve">6.1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450"/>
        <w:gridCol w:w="360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3450"/>
            <w:shd w:fill="1F3864" w:val="clear"/>
            <w:tcMar>
              <w:top w:type="dxa" w:w="80"/>
              <w:left w:type="dxa" w:w="100"/>
              <w:bottom w:type="dxa" w:w="80"/>
              <w:right w:type="dxa" w:w="100"/>
            </w:tcMar>
            <w:vAlign w:val="center"/>
          </w:tcPr>
          <w:p>
            <w:pPr>
              <w:jc w:val="left"/>
            </w:pPr>
            <w:r>
              <w:rPr>
                <w:b/>
                <w:bCs/>
                <w:color w:val="FFFFFF"/>
                <w:sz w:val="20"/>
                <w:szCs w:val="20"/>
              </w:rPr>
              <w:t xml:space="preserve">Primary choice</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Notes / alternatives</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Data ingestion / scraping</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Python (Requests, BeautifulSoup, Playwright for JS-rendered pages), Scrapy</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Playwright needed if the dashboard renders via JS before data appears</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Orchestration</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Apache Airflow (or Prefect for a lighter footprint)</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Schedules scraping + ETL jobs; demo can use a simple cron for time constraints</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Storage — raw</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MinIO / AWS S3 (or local filesystem for prototype)</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Object storage for raw scraped pages/exports and photo evidence</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Storage — curated</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PostgreSQL + PostGIS extension</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PostGIS is important — geo-queries (near-duplicate location, district boundary checks) are core to the fraud patterns</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Graph store</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Neo4j Community (or NetworkX in-process for prototype scale)</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Neo4j if the team wants a real graph DB demo; NetworkX is enough for hackathon-scale data</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Data processing</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Python: Pandas / Polars; PySpark only if data volume genuinely needs it</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Don't over-engineer — Pandas/Polars is plenty for a hackathon dataset size</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ML / AI</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scikit-learn (Isolation Forest, DBSCAN), PyTorch or TensorFlow/Keras (autoencoder), XGBoost/LightGBM (predictive), sentence-transformers (NLP), Prophet (time series)</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All open-source, no paid API dependency for the core pipeline</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Explainability</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SHAP, LIME</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Attach reason codes to every risk score</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Backend API</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FastAPI (Python)</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Async, auto-generates OpenAPI docs — good for judges to inspect live</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Frontend dashboard</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React + TypeScript, Tailwind CSS, Recharts / D3.js for charts, Mapbox GL / Leaflet for geo-heatmaps</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Leaflet is free/open-source if avoiding Mapbox API-key setup during demo</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Auth &amp; roles</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JWT-based auth, role-based access control (Ministry / State / District / MP / Auditor)</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Keycloak if time allows a proper IAM demo</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Notifications</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SMTP email; Twilio or MSG91 for SMS (India-friendly)</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Keep to email for MVP, SMS as stretch</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Deployment</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Docker + docker-compose for the whole stack; optional Kubernetes manifest as a “production-readiness” artifact</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One-command spin-up matters a lot for judge/mentor demos</w:t>
            </w:r>
          </w:p>
        </w:tc>
      </w:tr>
      <w:tr>
        <w:tc>
          <w:tcPr>
            <w:tcW w:type="dxa" w:w="23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CI/CD</w:t>
            </w:r>
          </w:p>
        </w:tc>
        <w:tc>
          <w:tcPr>
            <w:tcW w:type="dxa" w:w="34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GitHub Actions</w:t>
            </w:r>
          </w:p>
        </w:tc>
        <w:tc>
          <w:tcPr>
            <w:tcW w:type="dxa" w:w="3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Lint + test on push; nice to show engineering maturity</w:t>
            </w:r>
          </w:p>
        </w:tc>
      </w:tr>
      <w:tr>
        <w:tc>
          <w:tcPr>
            <w:tcW w:type="dxa" w:w="23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Monitoring (of the platform itself)</w:t>
            </w:r>
          </w:p>
        </w:tc>
        <w:tc>
          <w:tcPr>
            <w:tcW w:type="dxa" w:w="34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Prometheus + Grafana (stretch)</w:t>
            </w:r>
          </w:p>
        </w:tc>
        <w:tc>
          <w:tcPr>
            <w:tcW w:type="dxa" w:w="3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Shows you've thought about operating this at scale, not just building a demo</w:t>
            </w:r>
          </w:p>
        </w:tc>
      </w:tr>
    </w:tbl>
    <w:p>
      <w:pPr>
        <w:pStyle w:val="Heading2"/>
        <w:spacing w:after="140" w:before="280"/>
      </w:pPr>
      <w:r>
        <w:rPr>
          <w:b/>
          <w:bCs/>
          <w:color w:val="2E5395"/>
          <w:sz w:val="24"/>
          <w:szCs w:val="24"/>
        </w:rPr>
        <w:t xml:space="preserve">6.2 Why this stack (anticipate the judges' question)</w:t>
      </w:r>
    </w:p>
    <w:p>
      <w:pPr>
        <w:pStyle w:val="ListParagraph"/>
        <w:numPr>
          <w:ilvl w:val="0"/>
          <w:numId w:val="2"/>
        </w:numPr>
        <w:spacing w:after="80" w:line="264"/>
      </w:pPr>
      <w:r>
        <w:rPr>
          <w:b w:val="false"/>
          <w:bCs w:val="false"/>
          <w:color w:val="202020"/>
          <w:sz w:val="21"/>
          <w:szCs w:val="21"/>
        </w:rPr>
        <w:t xml:space="preserve">Fully open-source core — no recurring licence cost, which matters for a government deployment story.</w:t>
      </w:r>
    </w:p>
    <w:p>
      <w:pPr>
        <w:pStyle w:val="ListParagraph"/>
        <w:numPr>
          <w:ilvl w:val="0"/>
          <w:numId w:val="2"/>
        </w:numPr>
        <w:spacing w:after="80" w:line="264"/>
      </w:pPr>
      <w:r>
        <w:rPr>
          <w:b w:val="false"/>
          <w:bCs w:val="false"/>
          <w:color w:val="202020"/>
          <w:sz w:val="21"/>
          <w:szCs w:val="21"/>
        </w:rPr>
        <w:t xml:space="preserve">Python end-to-end for data/ML keeps the team's cognitive load low and lets ML and backend folks share code/utilities.</w:t>
      </w:r>
    </w:p>
    <w:p>
      <w:pPr>
        <w:pStyle w:val="ListParagraph"/>
        <w:numPr>
          <w:ilvl w:val="0"/>
          <w:numId w:val="2"/>
        </w:numPr>
        <w:spacing w:after="80" w:line="264"/>
      </w:pPr>
      <w:r>
        <w:rPr>
          <w:b w:val="false"/>
          <w:bCs w:val="false"/>
          <w:color w:val="202020"/>
          <w:sz w:val="21"/>
          <w:szCs w:val="21"/>
        </w:rPr>
        <w:t xml:space="preserve">PostGIS + graph DB directly map to two of the hardest fraud patterns (location duplication, vendor collusion) — this is a deliberate choice, not a default.</w:t>
      </w:r>
    </w:p>
    <w:p>
      <w:pPr>
        <w:pStyle w:val="ListParagraph"/>
        <w:numPr>
          <w:ilvl w:val="0"/>
          <w:numId w:val="2"/>
        </w:numPr>
        <w:spacing w:after="80" w:line="264"/>
      </w:pPr>
      <w:r>
        <w:rPr>
          <w:b w:val="false"/>
          <w:bCs w:val="false"/>
          <w:color w:val="202020"/>
          <w:sz w:val="21"/>
          <w:szCs w:val="21"/>
        </w:rPr>
        <w:t xml:space="preserve">FastAPI + React is a boring, well-understood, fast-to-build combination — appropriate given hackathon time pressure; sophistication should be in the ML/detection layer, not the plumbing.</w:t>
      </w:r>
    </w:p>
    <w:p>
      <w:pPr>
        <w:pStyle w:val="Heading1"/>
        <w:pBdr>
          <w:bottom w:val="single" w:color="1F3864" w:sz="6" w:space="4"/>
        </w:pBdr>
        <w:spacing w:after="200" w:before="400"/>
      </w:pPr>
      <w:r>
        <w:rPr>
          <w:b/>
          <w:bCs/>
          <w:color w:val="1F3864"/>
          <w:sz w:val="30"/>
          <w:szCs w:val="30"/>
        </w:rPr>
        <w:t xml:space="preserve">7. Functional Modules (What to actually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6750"/>
            <w:shd w:fill="1F3864" w:val="clear"/>
            <w:tcMar>
              <w:top w:type="dxa" w:w="80"/>
              <w:left w:type="dxa" w:w="100"/>
              <w:bottom w:type="dxa" w:w="80"/>
              <w:right w:type="dxa" w:w="100"/>
            </w:tcMar>
            <w:vAlign w:val="center"/>
          </w:tcPr>
          <w:p>
            <w:pPr>
              <w:jc w:val="left"/>
            </w:pPr>
            <w:r>
              <w:rPr>
                <w:b/>
                <w:bCs/>
                <w:color w:val="FFFFFF"/>
                <w:sz w:val="20"/>
                <w:szCs w:val="20"/>
              </w:rPr>
              <w:t xml:space="preserve">Core features</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1. Data Connector</w:t>
            </w:r>
          </w:p>
        </w:tc>
        <w:tc>
          <w:tcPr>
            <w:tcW w:type="dxa" w:w="67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Scheduled scraper for eSAKSHI dashboard; CSV/Excel bulk import; synthetic data generator with configurable anomaly-injection rate; data validation report on ingest.</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2. Unified Data Warehouse</w:t>
            </w:r>
          </w:p>
        </w:tc>
        <w:tc>
          <w:tcPr>
            <w:tcW w:type="dxa" w:w="67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Canonical schema (§3.3) in Postgres/PostGIS; entity-resolution pipeline for vendor/agency names; versioned snapshots so trend analysis is possible.</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3. Detection Engine</w:t>
            </w:r>
          </w:p>
        </w:tc>
        <w:tc>
          <w:tcPr>
            <w:tcW w:type="dxa" w:w="67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Rule engine (configurable YAML/JSON rules, not hardcoded); statistical/ML anomaly service; graph analytics service; NLP similarity service; predictive delay/overrun model — each independently runnable and testable.</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4. Risk Scoring Service</w:t>
            </w:r>
          </w:p>
        </w:tc>
        <w:tc>
          <w:tcPr>
            <w:tcW w:type="dxa" w:w="67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Ensemble aggregation; SHAP explainability; per-entity (work/vendor/agency) historical score tracking.</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5. Alerting &amp; Case Management</w:t>
            </w:r>
          </w:p>
        </w:tc>
        <w:tc>
          <w:tcPr>
            <w:tcW w:type="dxa" w:w="67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Configurable thresholds per role; alert queue with status (new/acknowledged/investigating/closed); comment trail; feedback capture (true positive/false positive) that logs into a retraining dataset.</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6. Dashboards</w:t>
            </w:r>
          </w:p>
        </w:tc>
        <w:tc>
          <w:tcPr>
            <w:tcW w:type="dxa" w:w="67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Ministry: national heatmap + trend charts. State: state drill-down. District: actionable case queue. MP: constituency transparency view. Common: work detail page showing full evidence trail (cost history, photos, payments, all sub-scores).</w:t>
            </w:r>
          </w:p>
        </w:tc>
      </w:tr>
      <w:tr>
        <w:tc>
          <w:tcPr>
            <w:tcW w:type="dxa" w:w="26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7. Reporting</w:t>
            </w:r>
          </w:p>
        </w:tc>
        <w:tc>
          <w:tcPr>
            <w:tcW w:type="dxa" w:w="67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Scheduled/exportable PDF or Excel reports (weekly risk summary, state comparison, top-N flagged vendors) — directly serves the “compliance monitoring” requirement in the problem statement.</w:t>
            </w:r>
          </w:p>
        </w:tc>
      </w:tr>
      <w:tr>
        <w:tc>
          <w:tcPr>
            <w:tcW w:type="dxa" w:w="26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8. Admin &amp; Model Ops</w:t>
            </w:r>
          </w:p>
        </w:tc>
        <w:tc>
          <w:tcPr>
            <w:tcW w:type="dxa" w:w="67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Rule/threshold configuration UI; model retraining trigger from feedback loop; audit log of who viewed/actioned what (important for a government tool).</w:t>
            </w:r>
          </w:p>
        </w:tc>
      </w:tr>
    </w:tbl>
    <w:p>
      <w:pPr>
        <w:pStyle w:val="Heading1"/>
        <w:pBdr>
          <w:bottom w:val="single" w:color="1F3864" w:sz="6" w:space="4"/>
        </w:pBdr>
        <w:spacing w:after="200" w:before="400"/>
      </w:pPr>
      <w:r>
        <w:rPr>
          <w:b/>
          <w:bCs/>
          <w:color w:val="1F3864"/>
          <w:sz w:val="30"/>
          <w:szCs w:val="30"/>
        </w:rPr>
        <w:t xml:space="preserve">8. Phased Execution Roadmap</w:t>
      </w:r>
    </w:p>
    <w:p>
      <w:pPr>
        <w:spacing w:after="160" w:line="276"/>
      </w:pPr>
      <w:r>
        <w:rPr>
          <w:color w:val="202020"/>
          <w:sz w:val="21"/>
          <w:szCs w:val="21"/>
        </w:rPr>
        <w:t xml:space="preserve">SIH 2026 runs, at a national level, roughly: SPOC &amp; problem-statement registration (Jun–Aug), internal-hackathon idea submission (Jul–Aug), team nomination (Aug–Sep), idea screening (Sep–Oct), results (Oct), mentoring (Nov), and the grand finale (Dec). The plan below is phrased against that shape so you can slot in your institute's actual dates.</w:t>
      </w:r>
    </w:p>
    <w:p>
      <w:pPr>
        <w:pStyle w:val="Heading3"/>
        <w:spacing w:after="100" w:before="200"/>
      </w:pPr>
      <w:r>
        <w:rPr>
          <w:b/>
          <w:bCs/>
          <w:color w:val="1F3864"/>
          <w:sz w:val="21"/>
          <w:szCs w:val="21"/>
        </w:rPr>
        <w:t xml:space="preserve">Phase 0 — Idea &amp; PPT submission (now → internal hackathon deadline)</w:t>
      </w:r>
    </w:p>
    <w:p>
      <w:pPr>
        <w:pStyle w:val="ListParagraph"/>
        <w:numPr>
          <w:ilvl w:val="0"/>
          <w:numId w:val="2"/>
        </w:numPr>
        <w:spacing w:after="80" w:line="264"/>
      </w:pPr>
      <w:r>
        <w:rPr>
          <w:b w:val="false"/>
          <w:bCs w:val="false"/>
          <w:color w:val="202020"/>
          <w:sz w:val="21"/>
          <w:szCs w:val="21"/>
        </w:rPr>
        <w:t xml:space="preserve">Finalize problem understanding, personas, and the architecture diagram (this document covers it).</w:t>
      </w:r>
    </w:p>
    <w:p>
      <w:pPr>
        <w:pStyle w:val="ListParagraph"/>
        <w:numPr>
          <w:ilvl w:val="0"/>
          <w:numId w:val="2"/>
        </w:numPr>
        <w:spacing w:after="80" w:line="264"/>
      </w:pPr>
      <w:r>
        <w:rPr>
          <w:b w:val="false"/>
          <w:bCs w:val="false"/>
          <w:color w:val="202020"/>
          <w:sz w:val="21"/>
          <w:szCs w:val="21"/>
        </w:rPr>
        <w:t xml:space="preserve">Build a clickable low-fidelity mock (Figma or even a slide-deck walkthrough) of the 4 core dashboards.</w:t>
      </w:r>
    </w:p>
    <w:p>
      <w:pPr>
        <w:pStyle w:val="ListParagraph"/>
        <w:numPr>
          <w:ilvl w:val="0"/>
          <w:numId w:val="2"/>
        </w:numPr>
        <w:spacing w:after="80" w:line="264"/>
      </w:pPr>
      <w:r>
        <w:rPr>
          <w:b w:val="false"/>
          <w:bCs w:val="false"/>
          <w:color w:val="202020"/>
          <w:sz w:val="21"/>
          <w:szCs w:val="21"/>
        </w:rPr>
        <w:t xml:space="preserve">Write the PPT: problem → impact → approach → architecture → tech stack → uniqueness → feasibility → impact/scalability. This is what actually gets screened first.</w:t>
      </w:r>
    </w:p>
    <w:p>
      <w:pPr>
        <w:pStyle w:val="Heading3"/>
        <w:spacing w:after="100" w:before="200"/>
      </w:pPr>
      <w:r>
        <w:rPr>
          <w:b/>
          <w:bCs/>
          <w:color w:val="1F3864"/>
          <w:sz w:val="21"/>
          <w:szCs w:val="21"/>
        </w:rPr>
        <w:t xml:space="preserve">Phase 1 — Foundation (Weeks 1–2 of build time)</w:t>
      </w:r>
    </w:p>
    <w:p>
      <w:pPr>
        <w:pStyle w:val="ListParagraph"/>
        <w:numPr>
          <w:ilvl w:val="0"/>
          <w:numId w:val="2"/>
        </w:numPr>
        <w:spacing w:after="80" w:line="264"/>
      </w:pPr>
      <w:r>
        <w:rPr>
          <w:b w:val="false"/>
          <w:bCs w:val="false"/>
          <w:color w:val="202020"/>
          <w:sz w:val="21"/>
          <w:szCs w:val="21"/>
        </w:rPr>
        <w:t xml:space="preserve">Stand up repo, Docker skeleton, CI; agree on the canonical schema.</w:t>
      </w:r>
    </w:p>
    <w:p>
      <w:pPr>
        <w:pStyle w:val="ListParagraph"/>
        <w:numPr>
          <w:ilvl w:val="0"/>
          <w:numId w:val="2"/>
        </w:numPr>
        <w:spacing w:after="80" w:line="264"/>
      </w:pPr>
      <w:r>
        <w:rPr>
          <w:b w:val="false"/>
          <w:bCs w:val="false"/>
          <w:color w:val="202020"/>
          <w:sz w:val="21"/>
          <w:szCs w:val="21"/>
        </w:rPr>
        <w:t xml:space="preserve">Build the scraper against the real eSAKSHI dashboard for at least one state; in parallel, build the synthetic data generator with injected, labeled anomalies.</w:t>
      </w:r>
    </w:p>
    <w:p>
      <w:pPr>
        <w:pStyle w:val="ListParagraph"/>
        <w:numPr>
          <w:ilvl w:val="0"/>
          <w:numId w:val="2"/>
        </w:numPr>
        <w:spacing w:after="80" w:line="264"/>
      </w:pPr>
      <w:r>
        <w:rPr>
          <w:b w:val="false"/>
          <w:bCs w:val="false"/>
          <w:color w:val="202020"/>
          <w:sz w:val="21"/>
          <w:szCs w:val="21"/>
        </w:rPr>
        <w:t xml:space="preserve">Load both into Postgres/PostGIS; build basic data-quality checks.</w:t>
      </w:r>
    </w:p>
    <w:p>
      <w:pPr>
        <w:pStyle w:val="Heading3"/>
        <w:spacing w:after="100" w:before="200"/>
      </w:pPr>
      <w:r>
        <w:rPr>
          <w:b/>
          <w:bCs/>
          <w:color w:val="1F3864"/>
          <w:sz w:val="21"/>
          <w:szCs w:val="21"/>
        </w:rPr>
        <w:t xml:space="preserve">Phase 2 — Detection core (Weeks 3–4)</w:t>
      </w:r>
    </w:p>
    <w:p>
      <w:pPr>
        <w:pStyle w:val="ListParagraph"/>
        <w:numPr>
          <w:ilvl w:val="0"/>
          <w:numId w:val="2"/>
        </w:numPr>
        <w:spacing w:after="80" w:line="264"/>
      </w:pPr>
      <w:r>
        <w:rPr>
          <w:b w:val="false"/>
          <w:bCs w:val="false"/>
          <w:color w:val="202020"/>
          <w:sz w:val="21"/>
          <w:szCs w:val="21"/>
        </w:rPr>
        <w:t xml:space="preserve">Implement the rule engine end-to-end first (fastest path to a visible demo).</w:t>
      </w:r>
    </w:p>
    <w:p>
      <w:pPr>
        <w:pStyle w:val="ListParagraph"/>
        <w:numPr>
          <w:ilvl w:val="0"/>
          <w:numId w:val="2"/>
        </w:numPr>
        <w:spacing w:after="80" w:line="264"/>
      </w:pPr>
      <w:r>
        <w:rPr>
          <w:b w:val="false"/>
          <w:bCs w:val="false"/>
          <w:color w:val="202020"/>
          <w:sz w:val="21"/>
          <w:szCs w:val="21"/>
        </w:rPr>
        <w:t xml:space="preserve">Implement Isolation Forest + peer-group cost outlier detection.</w:t>
      </w:r>
    </w:p>
    <w:p>
      <w:pPr>
        <w:pStyle w:val="ListParagraph"/>
        <w:numPr>
          <w:ilvl w:val="0"/>
          <w:numId w:val="2"/>
        </w:numPr>
        <w:spacing w:after="80" w:line="264"/>
      </w:pPr>
      <w:r>
        <w:rPr>
          <w:b w:val="false"/>
          <w:bCs w:val="false"/>
          <w:color w:val="202020"/>
          <w:sz w:val="21"/>
          <w:szCs w:val="21"/>
        </w:rPr>
        <w:t xml:space="preserve">Stand up the graph (NetworkX/Neo4j) and duplicate-work + vendor-concentration checks.</w:t>
      </w:r>
    </w:p>
    <w:p>
      <w:pPr>
        <w:pStyle w:val="ListParagraph"/>
        <w:numPr>
          <w:ilvl w:val="0"/>
          <w:numId w:val="2"/>
        </w:numPr>
        <w:spacing w:after="80" w:line="264"/>
      </w:pPr>
      <w:r>
        <w:rPr>
          <w:b w:val="false"/>
          <w:bCs w:val="false"/>
          <w:color w:val="202020"/>
          <w:sz w:val="21"/>
          <w:szCs w:val="21"/>
        </w:rPr>
        <w:t xml:space="preserve">Build the risk-aggregation service with basic SHAP explainability.</w:t>
      </w:r>
    </w:p>
    <w:p>
      <w:pPr>
        <w:pStyle w:val="Heading3"/>
        <w:spacing w:after="100" w:before="200"/>
      </w:pPr>
      <w:r>
        <w:rPr>
          <w:b/>
          <w:bCs/>
          <w:color w:val="1F3864"/>
          <w:sz w:val="21"/>
          <w:szCs w:val="21"/>
        </w:rPr>
        <w:t xml:space="preserve">Phase 3 — Product surface (Weeks 5–6)</w:t>
      </w:r>
    </w:p>
    <w:p>
      <w:pPr>
        <w:pStyle w:val="ListParagraph"/>
        <w:numPr>
          <w:ilvl w:val="0"/>
          <w:numId w:val="2"/>
        </w:numPr>
        <w:spacing w:after="80" w:line="264"/>
      </w:pPr>
      <w:r>
        <w:rPr>
          <w:b w:val="false"/>
          <w:bCs w:val="false"/>
          <w:color w:val="202020"/>
          <w:sz w:val="21"/>
          <w:szCs w:val="21"/>
        </w:rPr>
        <w:t xml:space="preserve">FastAPI endpoints for works, alerts, scores, and drill-down evidence.</w:t>
      </w:r>
    </w:p>
    <w:p>
      <w:pPr>
        <w:pStyle w:val="ListParagraph"/>
        <w:numPr>
          <w:ilvl w:val="0"/>
          <w:numId w:val="2"/>
        </w:numPr>
        <w:spacing w:after="80" w:line="264"/>
      </w:pPr>
      <w:r>
        <w:rPr>
          <w:b w:val="false"/>
          <w:bCs w:val="false"/>
          <w:color w:val="202020"/>
          <w:sz w:val="21"/>
          <w:szCs w:val="21"/>
        </w:rPr>
        <w:t xml:space="preserve">React dashboards — start with the District case queue and the work-detail evidence page, since those best demonstrate explainability to judges; then Ministry heatmap; then MP transparency view.</w:t>
      </w:r>
    </w:p>
    <w:p>
      <w:pPr>
        <w:pStyle w:val="ListParagraph"/>
        <w:numPr>
          <w:ilvl w:val="0"/>
          <w:numId w:val="2"/>
        </w:numPr>
        <w:spacing w:after="80" w:line="264"/>
      </w:pPr>
      <w:r>
        <w:rPr>
          <w:b w:val="false"/>
          <w:bCs w:val="false"/>
          <w:color w:val="202020"/>
          <w:sz w:val="21"/>
          <w:szCs w:val="21"/>
        </w:rPr>
        <w:t xml:space="preserve">Alerting: email notification on new high-risk flags; feedback capture (confirm/dismiss) wired back into a labeled dataset.</w:t>
      </w:r>
    </w:p>
    <w:p>
      <w:pPr>
        <w:pStyle w:val="Heading3"/>
        <w:spacing w:after="100" w:before="200"/>
      </w:pPr>
      <w:r>
        <w:rPr>
          <w:b/>
          <w:bCs/>
          <w:color w:val="1F3864"/>
          <w:sz w:val="21"/>
          <w:szCs w:val="21"/>
        </w:rPr>
        <w:t xml:space="preserve">Phase 4 — Predictive layer &amp; polish (Weeks 7–8)</w:t>
      </w:r>
    </w:p>
    <w:p>
      <w:pPr>
        <w:pStyle w:val="ListParagraph"/>
        <w:numPr>
          <w:ilvl w:val="0"/>
          <w:numId w:val="2"/>
        </w:numPr>
        <w:spacing w:after="80" w:line="264"/>
      </w:pPr>
      <w:r>
        <w:rPr>
          <w:b w:val="false"/>
          <w:bCs w:val="false"/>
          <w:color w:val="202020"/>
          <w:sz w:val="21"/>
          <w:szCs w:val="21"/>
        </w:rPr>
        <w:t xml:space="preserve">Train the XGBoost/LightGBM delay/overrun predictor on the accumulated labeled data; surface predicted risk at sanction time, not just after the fact.</w:t>
      </w:r>
    </w:p>
    <w:p>
      <w:pPr>
        <w:pStyle w:val="ListParagraph"/>
        <w:numPr>
          <w:ilvl w:val="0"/>
          <w:numId w:val="2"/>
        </w:numPr>
        <w:spacing w:after="80" w:line="264"/>
      </w:pPr>
      <w:r>
        <w:rPr>
          <w:b w:val="false"/>
          <w:bCs w:val="false"/>
          <w:color w:val="202020"/>
          <w:sz w:val="21"/>
          <w:szCs w:val="21"/>
        </w:rPr>
        <w:t xml:space="preserve">Add Prophet-based trend charts (expenditure velocity, state comparisons) for the Ministry view.</w:t>
      </w:r>
    </w:p>
    <w:p>
      <w:pPr>
        <w:pStyle w:val="ListParagraph"/>
        <w:numPr>
          <w:ilvl w:val="0"/>
          <w:numId w:val="2"/>
        </w:numPr>
        <w:spacing w:after="80" w:line="264"/>
      </w:pPr>
      <w:r>
        <w:rPr>
          <w:b w:val="false"/>
          <w:bCs w:val="false"/>
          <w:color w:val="202020"/>
          <w:sz w:val="21"/>
          <w:szCs w:val="21"/>
        </w:rPr>
        <w:t xml:space="preserve">Load/perf test; security pass (auth, RBAC, input validation); write the deployment doc and Docker Compose one-liner.</w:t>
      </w:r>
    </w:p>
    <w:p>
      <w:pPr>
        <w:pStyle w:val="Heading3"/>
        <w:spacing w:after="100" w:before="200"/>
      </w:pPr>
      <w:r>
        <w:rPr>
          <w:b/>
          <w:bCs/>
          <w:color w:val="1F3864"/>
          <w:sz w:val="21"/>
          <w:szCs w:val="21"/>
        </w:rPr>
        <w:t xml:space="preserve">Phase 5 — Grand-finale readiness (final stretch)</w:t>
      </w:r>
    </w:p>
    <w:p>
      <w:pPr>
        <w:pStyle w:val="ListParagraph"/>
        <w:numPr>
          <w:ilvl w:val="0"/>
          <w:numId w:val="2"/>
        </w:numPr>
        <w:spacing w:after="80" w:line="264"/>
      </w:pPr>
      <w:r>
        <w:rPr>
          <w:b w:val="false"/>
          <w:bCs w:val="false"/>
          <w:color w:val="202020"/>
          <w:sz w:val="21"/>
          <w:szCs w:val="21"/>
        </w:rPr>
        <w:t xml:space="preserve">Prepare a scripted 5–10 minute live demo covering: real-data ingestion → an obviously flagged real or injected anomaly → the evidence/explainability view → the predictive model catching a case before it becomes a problem → the Ministry-level trend dashboard.</w:t>
      </w:r>
    </w:p>
    <w:p>
      <w:pPr>
        <w:pStyle w:val="ListParagraph"/>
        <w:numPr>
          <w:ilvl w:val="0"/>
          <w:numId w:val="2"/>
        </w:numPr>
        <w:spacing w:after="80" w:line="264"/>
      </w:pPr>
      <w:r>
        <w:rPr>
          <w:b w:val="false"/>
          <w:bCs w:val="false"/>
          <w:color w:val="202020"/>
          <w:sz w:val="21"/>
          <w:szCs w:val="21"/>
        </w:rPr>
        <w:t xml:space="preserve">Prepare answers for the two questions judges always ask: “How does this integrate with existing government systems?” (API-first ingestion layer, §4.3) and “How do you avoid false positives ruining an honest official's day?” (human-in-the-loop design, explainability, feedback loop, §4.3 and §7).</w:t>
      </w:r>
    </w:p>
    <w:p>
      <w:pPr>
        <w:pStyle w:val="ListParagraph"/>
        <w:numPr>
          <w:ilvl w:val="0"/>
          <w:numId w:val="2"/>
        </w:numPr>
        <w:spacing w:after="80" w:line="264"/>
      </w:pPr>
      <w:r>
        <w:rPr>
          <w:b w:val="false"/>
          <w:bCs w:val="false"/>
          <w:color w:val="202020"/>
          <w:sz w:val="21"/>
          <w:szCs w:val="21"/>
        </w:rPr>
        <w:t xml:space="preserve">Stress-test the story on data limitations honestly — acknowledge the pre-2023 data gap and frame Track B synthetic validation as the answer, not a workaround to hide.</w:t>
      </w:r>
    </w:p>
    <w:p>
      <w:pPr>
        <w:pStyle w:val="Heading1"/>
        <w:pBdr>
          <w:bottom w:val="single" w:color="1F3864" w:sz="6" w:space="4"/>
        </w:pBdr>
        <w:spacing w:after="200" w:before="400"/>
      </w:pPr>
      <w:r>
        <w:rPr>
          <w:b/>
          <w:bCs/>
          <w:color w:val="1F3864"/>
          <w:sz w:val="30"/>
          <w:szCs w:val="30"/>
        </w:rPr>
        <w:t xml:space="preserve">9. Suggested Team Role Split (6-member SIH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6950"/>
            <w:shd w:fill="1F3864" w:val="clear"/>
            <w:tcMar>
              <w:top w:type="dxa" w:w="80"/>
              <w:left w:type="dxa" w:w="100"/>
              <w:bottom w:type="dxa" w:w="80"/>
              <w:right w:type="dxa" w:w="100"/>
            </w:tcMar>
            <w:vAlign w:val="center"/>
          </w:tcPr>
          <w:p>
            <w:pPr>
              <w:jc w:val="left"/>
            </w:pPr>
            <w:r>
              <w:rPr>
                <w:b/>
                <w:bCs/>
                <w:color w:val="FFFFFF"/>
                <w:sz w:val="20"/>
                <w:szCs w:val="20"/>
              </w:rPr>
              <w:t xml:space="preserve">Responsibilities</w:t>
            </w:r>
          </w:p>
        </w:tc>
      </w:tr>
      <w:tr>
        <w:tc>
          <w:tcPr>
            <w:tcW w:type="dxa" w:w="2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Data/ETL Engineer</w:t>
            </w:r>
          </w:p>
        </w:tc>
        <w:tc>
          <w:tcPr>
            <w:tcW w:type="dxa" w:w="6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Scraper, synthetic generator, schema, Postgres/PostGIS, entity resolution.</w:t>
            </w:r>
          </w:p>
        </w:tc>
      </w:tr>
      <w:tr>
        <w:tc>
          <w:tcPr>
            <w:tcW w:type="dxa" w:w="2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ML Engineer — Anomaly</w:t>
            </w:r>
          </w:p>
        </w:tc>
        <w:tc>
          <w:tcPr>
            <w:tcW w:type="dxa" w:w="6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Isolation Forest, autoencoder, DBSCAN, Benford's law, feature engineering.</w:t>
            </w:r>
          </w:p>
        </w:tc>
      </w:tr>
      <w:tr>
        <w:tc>
          <w:tcPr>
            <w:tcW w:type="dxa" w:w="2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ML Engineer — Graph &amp; NLP &amp; Predictive</w:t>
            </w:r>
          </w:p>
        </w:tc>
        <w:tc>
          <w:tcPr>
            <w:tcW w:type="dxa" w:w="6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Graph analytics, duplicate/text-similarity detection, XGBoost predictive model, SHAP explainability.</w:t>
            </w:r>
          </w:p>
        </w:tc>
      </w:tr>
      <w:tr>
        <w:tc>
          <w:tcPr>
            <w:tcW w:type="dxa" w:w="2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Backend Engineer</w:t>
            </w:r>
          </w:p>
        </w:tc>
        <w:tc>
          <w:tcPr>
            <w:tcW w:type="dxa" w:w="6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FastAPI services, risk-aggregation service, alerting/notification service, auth/RBAC.</w:t>
            </w:r>
          </w:p>
        </w:tc>
      </w:tr>
      <w:tr>
        <w:tc>
          <w:tcPr>
            <w:tcW w:type="dxa" w:w="24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Frontend Engineer</w:t>
            </w:r>
          </w:p>
        </w:tc>
        <w:tc>
          <w:tcPr>
            <w:tcW w:type="dxa" w:w="69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React dashboards, charts, geo-heatmaps, work-detail evidence page.</w:t>
            </w:r>
          </w:p>
        </w:tc>
      </w:tr>
      <w:tr>
        <w:tc>
          <w:tcPr>
            <w:tcW w:type="dxa" w:w="24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Team Lead / Domain &amp; Pitch</w:t>
            </w:r>
          </w:p>
        </w:tc>
        <w:tc>
          <w:tcPr>
            <w:tcW w:type="dxa" w:w="69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MPLADS domain research, PPT/demo narrative, judge Q&amp;A prep, coordinating scope so the demo stays achievable in the time available.</w:t>
            </w:r>
          </w:p>
        </w:tc>
      </w:tr>
    </w:tbl>
    <w:p>
      <w:pPr>
        <w:pStyle w:val="Heading1"/>
        <w:pBdr>
          <w:bottom w:val="single" w:color="1F3864" w:sz="6" w:space="4"/>
        </w:pBdr>
        <w:spacing w:after="200" w:before="400"/>
      </w:pPr>
      <w:r>
        <w:rPr>
          <w:b/>
          <w:bCs/>
          <w:color w:val="1F3864"/>
          <w:sz w:val="30"/>
          <w:szCs w:val="30"/>
        </w:rPr>
        <w:t xml:space="preserve">10. Evaluation Metrics &amp; KPIs</w:t>
      </w:r>
    </w:p>
    <w:p>
      <w:pPr>
        <w:pStyle w:val="Heading2"/>
        <w:spacing w:after="140" w:before="280"/>
      </w:pPr>
      <w:r>
        <w:rPr>
          <w:b/>
          <w:bCs/>
          <w:color w:val="2E5395"/>
          <w:sz w:val="24"/>
          <w:szCs w:val="24"/>
        </w:rPr>
        <w:t xml:space="preserve">10.1 Model-quality metrics (measured against the synthetic labeled set)</w:t>
      </w:r>
    </w:p>
    <w:p>
      <w:pPr>
        <w:pStyle w:val="ListParagraph"/>
        <w:numPr>
          <w:ilvl w:val="0"/>
          <w:numId w:val="2"/>
        </w:numPr>
        <w:spacing w:after="80" w:line="264"/>
      </w:pPr>
      <w:r>
        <w:rPr>
          <w:b w:val="false"/>
          <w:bCs w:val="false"/>
          <w:color w:val="202020"/>
          <w:sz w:val="21"/>
          <w:szCs w:val="21"/>
        </w:rPr>
        <w:t xml:space="preserve">Precision / Recall / F1 of each detector against injected anomalies, reported per anomaly type (cost inflation, duplicate, delay, etc.), not as one blended number.</w:t>
      </w:r>
    </w:p>
    <w:p>
      <w:pPr>
        <w:pStyle w:val="ListParagraph"/>
        <w:numPr>
          <w:ilvl w:val="0"/>
          <w:numId w:val="2"/>
        </w:numPr>
        <w:spacing w:after="80" w:line="264"/>
      </w:pPr>
      <w:r>
        <w:rPr>
          <w:b w:val="false"/>
          <w:bCs w:val="false"/>
          <w:color w:val="202020"/>
          <w:sz w:val="21"/>
          <w:szCs w:val="21"/>
        </w:rPr>
        <w:t xml:space="preserve">Precision@K for the Composite Risk Score — “of the top 50 highest-risk works, how many are true injected anomalies” — this is the number that maps directly to a real investigator's workload.</w:t>
      </w:r>
    </w:p>
    <w:p>
      <w:pPr>
        <w:pStyle w:val="ListParagraph"/>
        <w:numPr>
          <w:ilvl w:val="0"/>
          <w:numId w:val="2"/>
        </w:numPr>
        <w:spacing w:after="80" w:line="264"/>
      </w:pPr>
      <w:r>
        <w:rPr>
          <w:b w:val="false"/>
          <w:bCs w:val="false"/>
          <w:color w:val="202020"/>
          <w:sz w:val="21"/>
          <w:szCs w:val="21"/>
        </w:rPr>
        <w:t xml:space="preserve">False-positive rate at the alerting threshold — explicitly tracked and tuned, since false positives are the platform's real adoption risk.</w:t>
      </w:r>
    </w:p>
    <w:p>
      <w:pPr>
        <w:pStyle w:val="Heading2"/>
        <w:spacing w:after="140" w:before="280"/>
      </w:pPr>
      <w:r>
        <w:rPr>
          <w:b/>
          <w:bCs/>
          <w:color w:val="2E5395"/>
          <w:sz w:val="24"/>
          <w:szCs w:val="24"/>
        </w:rPr>
        <w:t xml:space="preserve">10.2 Product / impact metrics (for the pitch)</w:t>
      </w:r>
    </w:p>
    <w:p>
      <w:pPr>
        <w:pStyle w:val="ListParagraph"/>
        <w:numPr>
          <w:ilvl w:val="0"/>
          <w:numId w:val="2"/>
        </w:numPr>
        <w:spacing w:after="80" w:line="264"/>
      </w:pPr>
      <w:r>
        <w:rPr>
          <w:b w:val="false"/>
          <w:bCs w:val="false"/>
          <w:color w:val="202020"/>
          <w:sz w:val="21"/>
          <w:szCs w:val="21"/>
        </w:rPr>
        <w:t xml:space="preserve">Reduction in manual audit effort: estimated time to review N works with vs. without risk-prioritised triage.</w:t>
      </w:r>
    </w:p>
    <w:p>
      <w:pPr>
        <w:pStyle w:val="ListParagraph"/>
        <w:numPr>
          <w:ilvl w:val="0"/>
          <w:numId w:val="2"/>
        </w:numPr>
        <w:spacing w:after="80" w:line="264"/>
      </w:pPr>
      <w:r>
        <w:rPr>
          <w:b w:val="false"/>
          <w:bCs w:val="false"/>
          <w:color w:val="202020"/>
          <w:sz w:val="21"/>
          <w:szCs w:val="21"/>
        </w:rPr>
        <w:t xml:space="preserve">Coverage: % of sanctioned works and total fund value the platform can currently ingest and score.</w:t>
      </w:r>
    </w:p>
    <w:p>
      <w:pPr>
        <w:pStyle w:val="ListParagraph"/>
        <w:numPr>
          <w:ilvl w:val="0"/>
          <w:numId w:val="2"/>
        </w:numPr>
        <w:spacing w:after="80" w:line="264"/>
      </w:pPr>
      <w:r>
        <w:rPr>
          <w:b w:val="false"/>
          <w:bCs w:val="false"/>
          <w:color w:val="202020"/>
          <w:sz w:val="21"/>
          <w:szCs w:val="21"/>
        </w:rPr>
        <w:t xml:space="preserve">Time-to-detection: for a chronic-delay case, how much earlier the platform's predictive model would have flagged it versus waiting for a manual review cycle.</w:t>
      </w:r>
    </w:p>
    <w:p>
      <w:pPr>
        <w:pStyle w:val="Heading1"/>
        <w:pBdr>
          <w:bottom w:val="single" w:color="1F3864" w:sz="6" w:space="4"/>
        </w:pBdr>
        <w:spacing w:after="200" w:before="400"/>
      </w:pPr>
      <w:r>
        <w:rPr>
          <w:b/>
          <w:bCs/>
          <w:color w:val="1F3864"/>
          <w:sz w:val="30"/>
          <w:szCs w:val="30"/>
        </w:rPr>
        <w:t xml:space="preserve">11.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3864"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6250"/>
            <w:shd w:fill="1F3864"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31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Public dashboard has no open API / is JS-heavy and hard to scrape reliably</w:t>
            </w:r>
          </w:p>
        </w:tc>
        <w:tc>
          <w:tcPr>
            <w:tcW w:type="dxa" w:w="62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Use Playwright to capture the underlying XHR/JSON calls; fall back to manual bulk export + periodic refresh; be upfront in the pitch that a production version would use an official data-sharing agreement/API instead of scraping.</w:t>
            </w:r>
          </w:p>
        </w:tc>
      </w:tr>
      <w:tr>
        <w:tc>
          <w:tcPr>
            <w:tcW w:type="dxa" w:w="31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No ground truth for real fraud — can't claim a validated accuracy number on real data</w:t>
            </w:r>
          </w:p>
        </w:tc>
        <w:tc>
          <w:tcPr>
            <w:tcW w:type="dxa" w:w="62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Be explicit: real-data results are shown as flagged cases for human review, not as a validated accuracy claim; accuracy/precision/recall numbers are reported on the synthetic labeled set, clearly labeled as such.</w:t>
            </w:r>
          </w:p>
        </w:tc>
      </w:tr>
      <w:tr>
        <w:tc>
          <w:tcPr>
            <w:tcW w:type="dxa" w:w="31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Data sparse before FY2023-24</w:t>
            </w:r>
          </w:p>
        </w:tc>
        <w:tc>
          <w:tcPr>
            <w:tcW w:type="dxa" w:w="62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Scope the real-data demo to 2023-24 onward; mention this constraint proactively rather than let a judge discover it.</w:t>
            </w:r>
          </w:p>
        </w:tc>
      </w:tr>
      <w:tr>
        <w:tc>
          <w:tcPr>
            <w:tcW w:type="dxa" w:w="31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False positives could unfairly flag honest officials</w:t>
            </w:r>
          </w:p>
        </w:tc>
        <w:tc>
          <w:tcPr>
            <w:tcW w:type="dxa" w:w="62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Human-in-the-loop design; every flag carries an explanation; feedback loop lets false positives correct the model over time; language throughout the product says “risk indicator for review,” never “confirmed fraud.”</w:t>
            </w:r>
          </w:p>
        </w:tc>
      </w:tr>
      <w:tr>
        <w:tc>
          <w:tcPr>
            <w:tcW w:type="dxa" w:w="310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Scope too large for hackathon timeline</w:t>
            </w:r>
          </w:p>
        </w:tc>
        <w:tc>
          <w:tcPr>
            <w:tcW w:type="dxa" w:w="6250"/>
            <w:shd w:fill="F2F2F2" w:val="clear"/>
            <w:tcMar>
              <w:top w:type="dxa" w:w="80"/>
              <w:left w:type="dxa" w:w="100"/>
              <w:bottom w:type="dxa" w:w="80"/>
              <w:right w:type="dxa" w:w="100"/>
            </w:tcMar>
            <w:vAlign w:val="center"/>
          </w:tcPr>
          <w:p>
            <w:pPr>
              <w:jc w:val="left"/>
            </w:pPr>
            <w:r>
              <w:rPr>
                <w:b w:val="false"/>
                <w:bCs w:val="false"/>
                <w:color w:val="202020"/>
                <w:sz w:val="20"/>
                <w:szCs w:val="20"/>
              </w:rPr>
              <w:t xml:space="preserve">Phase 1–3 (rules + statistical outliers + basic dashboard) is the non-negotiable MVP; graph/NLP/predictive layers are stretch goals explicitly sequenced so a partial build still demos well.</w:t>
            </w:r>
          </w:p>
        </w:tc>
      </w:tr>
      <w:tr>
        <w:tc>
          <w:tcPr>
            <w:tcW w:type="dxa" w:w="310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Team ML/infra skill mismatch mid-project</w:t>
            </w:r>
          </w:p>
        </w:tc>
        <w:tc>
          <w:tcPr>
            <w:tcW w:type="dxa" w:w="6250"/>
            <w:shd w:fill="FFFFFF" w:val="clear"/>
            <w:tcMar>
              <w:top w:type="dxa" w:w="80"/>
              <w:left w:type="dxa" w:w="100"/>
              <w:bottom w:type="dxa" w:w="80"/>
              <w:right w:type="dxa" w:w="100"/>
            </w:tcMar>
            <w:vAlign w:val="center"/>
          </w:tcPr>
          <w:p>
            <w:pPr>
              <w:jc w:val="left"/>
            </w:pPr>
            <w:r>
              <w:rPr>
                <w:b w:val="false"/>
                <w:bCs w:val="false"/>
                <w:color w:val="202020"/>
                <w:sz w:val="20"/>
                <w:szCs w:val="20"/>
              </w:rPr>
              <w:t xml:space="preserve">Stack is intentionally standard, well-documented, Python-first tooling (scikit-learn, FastAPI, React) so any member can ramp up quickly; avoid exotic frameworks.</w:t>
            </w:r>
          </w:p>
        </w:tc>
      </w:tr>
    </w:tbl>
    <w:p>
      <w:pPr>
        <w:pStyle w:val="Heading1"/>
        <w:pBdr>
          <w:bottom w:val="single" w:color="1F3864" w:sz="6" w:space="4"/>
        </w:pBdr>
        <w:spacing w:after="200" w:before="400"/>
      </w:pPr>
      <w:r>
        <w:rPr>
          <w:b/>
          <w:bCs/>
          <w:color w:val="1F3864"/>
          <w:sz w:val="30"/>
          <w:szCs w:val="30"/>
        </w:rPr>
        <w:t xml:space="preserve">12. What Makes This Pitch Stand Out</w:t>
      </w:r>
    </w:p>
    <w:p>
      <w:pPr>
        <w:pStyle w:val="ListParagraph"/>
        <w:numPr>
          <w:ilvl w:val="0"/>
          <w:numId w:val="2"/>
        </w:numPr>
        <w:spacing w:after="80" w:line="264"/>
      </w:pPr>
      <w:r>
        <w:rPr>
          <w:b w:val="false"/>
          <w:bCs w:val="false"/>
          <w:color w:val="202020"/>
          <w:sz w:val="21"/>
          <w:szCs w:val="21"/>
        </w:rPr>
        <w:t xml:space="preserve">Multi-modal detection, not a single model: rules + statistical + graph + NLP + predictive, each targeting a distinct, named fraud pattern from real MPLADS oversight discussions (transparency, ineffective targeting, weak monitoring) — shows domain grounding, not generic “we'll use AI” hand-waving.</w:t>
      </w:r>
    </w:p>
    <w:p>
      <w:pPr>
        <w:pStyle w:val="ListParagraph"/>
        <w:numPr>
          <w:ilvl w:val="0"/>
          <w:numId w:val="2"/>
        </w:numPr>
        <w:spacing w:after="80" w:line="264"/>
      </w:pPr>
      <w:r>
        <w:rPr>
          <w:b w:val="false"/>
          <w:bCs w:val="false"/>
          <w:color w:val="202020"/>
          <w:sz w:val="21"/>
          <w:szCs w:val="21"/>
        </w:rPr>
        <w:t xml:space="preserve">Explainability as a first-class feature, not an afterthought — every score has a plain-language reason, which is what actually gets a monitoring tool adopted by risk-averse government users.</w:t>
      </w:r>
    </w:p>
    <w:p>
      <w:pPr>
        <w:pStyle w:val="ListParagraph"/>
        <w:numPr>
          <w:ilvl w:val="0"/>
          <w:numId w:val="2"/>
        </w:numPr>
        <w:spacing w:after="80" w:line="264"/>
      </w:pPr>
      <w:r>
        <w:rPr>
          <w:b w:val="false"/>
          <w:bCs w:val="false"/>
          <w:color w:val="202020"/>
          <w:sz w:val="21"/>
          <w:szCs w:val="21"/>
        </w:rPr>
        <w:t xml:space="preserve">Honest, two-track data strategy that turns a real limitation (no fraud ground truth, sparse historical data) into a credible validation methodology instead of an unaddressed gap.</w:t>
      </w:r>
    </w:p>
    <w:p>
      <w:pPr>
        <w:pStyle w:val="ListParagraph"/>
        <w:numPr>
          <w:ilvl w:val="0"/>
          <w:numId w:val="2"/>
        </w:numPr>
        <w:spacing w:after="80" w:line="264"/>
      </w:pPr>
      <w:r>
        <w:rPr>
          <w:b w:val="false"/>
          <w:bCs w:val="false"/>
          <w:color w:val="202020"/>
          <w:sz w:val="21"/>
          <w:szCs w:val="21"/>
        </w:rPr>
        <w:t xml:space="preserve">Designed for integration, not replacement — API-first connectors mean this can sit alongside PFMS/PRAGATI-linked systems already in government use rather than asking the Ministry to rip anything out.</w:t>
      </w:r>
    </w:p>
    <w:p>
      <w:pPr>
        <w:pStyle w:val="ListParagraph"/>
        <w:numPr>
          <w:ilvl w:val="0"/>
          <w:numId w:val="2"/>
        </w:numPr>
        <w:spacing w:after="80" w:line="264"/>
      </w:pPr>
      <w:r>
        <w:rPr>
          <w:b w:val="false"/>
          <w:bCs w:val="false"/>
          <w:color w:val="202020"/>
          <w:sz w:val="21"/>
          <w:szCs w:val="21"/>
        </w:rPr>
        <w:t xml:space="preserve">Role-based dashboards that map to the actual MPLADS governance chain (Ministry → State → District → MP) rather than one generic admin panel.</w:t>
      </w:r>
    </w:p>
    <w:p>
      <w:pPr>
        <w:pStyle w:val="Heading1"/>
        <w:pBdr>
          <w:bottom w:val="single" w:color="1F3864" w:sz="6" w:space="4"/>
        </w:pBdr>
        <w:spacing w:after="200" w:before="400"/>
      </w:pPr>
      <w:r>
        <w:rPr>
          <w:b/>
          <w:bCs/>
          <w:color w:val="1F3864"/>
          <w:sz w:val="30"/>
          <w:szCs w:val="30"/>
        </w:rPr>
        <w:t xml:space="preserve">13. References</w:t>
      </w:r>
    </w:p>
    <w:p>
      <w:pPr>
        <w:spacing w:after="160" w:line="276"/>
      </w:pPr>
      <w:r>
        <w:rPr>
          <w:i/>
          <w:iCs/>
          <w:color w:val="202020"/>
          <w:sz w:val="21"/>
          <w:szCs w:val="21"/>
        </w:rPr>
        <w:t xml:space="preserve">MPLADS Guidelines &amp; scheme overview: mplads.gov.in; PMF IAS scheme summary (pmfias.com/mplads-scheme). eSAKSHI MPLADS Dashboard: mplads.mospi.gov.in/digigov/dashboard.html (dataset link provided in the problem statement). SIH 2026 process timeline: official SIH communications via institutional SPOC; general timeline cross-referenced from public SIH 2026 guidance articles current as of September 2026.</w:t>
      </w:r>
    </w:p>
    <w:p>
      <w:pPr>
        <w:spacing w:after="80"/>
      </w:pPr>
    </w:p>
    <w:p>
      <w:pPr>
        <w:spacing w:after="160" w:line="276"/>
      </w:pPr>
      <w:r>
        <w:rPr>
          <w:i/>
          <w:iCs/>
          <w:color w:val="595959"/>
          <w:sz w:val="18"/>
          <w:szCs w:val="18"/>
        </w:rPr>
        <w:t xml:space="preserve">Note: MPLADS fund figures, portal data-availability windows, and SIH scheduling are drawn from current public sources as of this document's date and should be re-verified against the official mplads.gov.in and SIH portals closer to submission, since scheme guidelines and hackathon dates can be revised.</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MPLADS AI Anomaly Detection — SIH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4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2026-09-09T08:07:54.317Z</dcterms:created>
  <dcterms:modified xsi:type="dcterms:W3CDTF">2026-09-09T08:07:54.317Z</dcterms:modified>
</cp:coreProperties>
</file>

<file path=docProps/custom.xml><?xml version="1.0" encoding="utf-8"?>
<Properties xmlns="http://schemas.openxmlformats.org/officeDocument/2006/custom-properties" xmlns:vt="http://schemas.openxmlformats.org/officeDocument/2006/docPropsVTypes"/>
</file>