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br/>
        <w:br/>
      </w:r>
      <w:r>
        <w:rPr>
          <w:rFonts w:ascii="Aptos Display" w:hAnsi="Aptos Display"/>
          <w:b/>
          <w:color w:val="1F4E79"/>
          <w:sz w:val="48"/>
        </w:rPr>
        <w:t>Annexe technique</w:t>
      </w:r>
    </w:p>
    <w:p>
      <w:pPr>
        <w:jc w:val="center"/>
      </w:pPr>
      <w:r>
        <w:rPr>
          <w:i/>
          <w:color w:val="464646"/>
          <w:sz w:val="26"/>
        </w:rPr>
        <w:t>Documentation technique du projet de prédiction du churn client</w:t>
      </w:r>
    </w:p>
    <w:p/>
    <w:p/>
    <w:p/>
    <w:tbl>
      <w:tblPr>
        <w:tblW w:type="auto" w:w="0"/>
        <w:jc w:val="center"/>
        <w:tblLayout w:type="fixed"/>
        <w:tblLook w:firstColumn="1" w:firstRow="1" w:lastColumn="0" w:lastRow="0" w:noHBand="0" w:noVBand="1" w:val="04A0"/>
      </w:tblPr>
      <w:tblGrid>
        <w:gridCol w:w="4873"/>
        <w:gridCol w:w="4873"/>
      </w:tblGrid>
      <w:tr>
        <w:tc>
          <w:tcPr>
            <w:tcW w:type="dxa" w:w="2381"/>
            <w:vAlign w:val="center"/>
            <w:tcMar>
              <w:top w:w="90" w:type="dxa"/>
              <w:start w:w="120" w:type="dxa"/>
              <w:bottom w:w="90" w:type="dxa"/>
              <w:end w:w="120" w:type="dxa"/>
            </w:tcMar>
            <w:shd w:fill="DCE6F1"/>
          </w:tcPr>
          <w:p>
            <w:r>
              <w:t>Auteurs</w:t>
            </w:r>
          </w:p>
        </w:tc>
        <w:tc>
          <w:tcPr>
            <w:tcW w:type="dxa" w:w="4876"/>
            <w:vAlign w:val="center"/>
            <w:tcMar>
              <w:top w:w="90" w:type="dxa"/>
              <w:start w:w="120" w:type="dxa"/>
              <w:bottom w:w="90" w:type="dxa"/>
              <w:end w:w="120" w:type="dxa"/>
            </w:tcMar>
          </w:tcPr>
          <w:p>
            <w:r>
              <w:t>François Ngy et Antoine Theissen</w:t>
            </w:r>
          </w:p>
        </w:tc>
      </w:tr>
      <w:tr>
        <w:tc>
          <w:tcPr>
            <w:tcW w:type="dxa" w:w="2381"/>
            <w:vAlign w:val="center"/>
            <w:tcMar>
              <w:top w:w="90" w:type="dxa"/>
              <w:start w:w="120" w:type="dxa"/>
              <w:bottom w:w="90" w:type="dxa"/>
              <w:end w:w="120" w:type="dxa"/>
            </w:tcMar>
            <w:shd w:fill="DCE6F1"/>
          </w:tcPr>
          <w:p>
            <w:r>
              <w:t>Formation</w:t>
            </w:r>
          </w:p>
        </w:tc>
        <w:tc>
          <w:tcPr>
            <w:tcW w:type="dxa" w:w="4876"/>
            <w:vAlign w:val="center"/>
            <w:tcMar>
              <w:top w:w="90" w:type="dxa"/>
              <w:start w:w="120" w:type="dxa"/>
              <w:bottom w:w="90" w:type="dxa"/>
              <w:end w:w="120" w:type="dxa"/>
            </w:tcMar>
          </w:tcPr>
          <w:p>
            <w:r>
              <w:t>M2 DE</w:t>
            </w:r>
          </w:p>
        </w:tc>
      </w:tr>
      <w:tr>
        <w:tc>
          <w:tcPr>
            <w:tcW w:type="dxa" w:w="2381"/>
            <w:vAlign w:val="center"/>
            <w:tcMar>
              <w:top w:w="90" w:type="dxa"/>
              <w:start w:w="120" w:type="dxa"/>
              <w:bottom w:w="90" w:type="dxa"/>
              <w:end w:w="120" w:type="dxa"/>
            </w:tcMar>
            <w:shd w:fill="DCE6F1"/>
          </w:tcPr>
          <w:p>
            <w:r>
              <w:t>Projet</w:t>
            </w:r>
          </w:p>
        </w:tc>
        <w:tc>
          <w:tcPr>
            <w:tcW w:type="dxa" w:w="4876"/>
            <w:vAlign w:val="center"/>
            <w:tcMar>
              <w:top w:w="90" w:type="dxa"/>
              <w:start w:w="120" w:type="dxa"/>
              <w:bottom w:w="90" w:type="dxa"/>
              <w:end w:w="120" w:type="dxa"/>
            </w:tcMar>
          </w:tcPr>
          <w:p>
            <w:r>
              <w:t>Rétention client et évaluation du risque de revenus</w:t>
            </w:r>
          </w:p>
        </w:tc>
      </w:tr>
      <w:tr>
        <w:tc>
          <w:tcPr>
            <w:tcW w:type="dxa" w:w="2381"/>
            <w:vAlign w:val="center"/>
            <w:tcMar>
              <w:top w:w="90" w:type="dxa"/>
              <w:start w:w="120" w:type="dxa"/>
              <w:bottom w:w="90" w:type="dxa"/>
              <w:end w:w="120" w:type="dxa"/>
            </w:tcMar>
            <w:shd w:fill="DCE6F1"/>
          </w:tcPr>
          <w:p>
            <w:r>
              <w:t>Date</w:t>
            </w:r>
          </w:p>
        </w:tc>
        <w:tc>
          <w:tcPr>
            <w:tcW w:type="dxa" w:w="4876"/>
            <w:vAlign w:val="center"/>
            <w:tcMar>
              <w:top w:w="90" w:type="dxa"/>
              <w:start w:w="120" w:type="dxa"/>
              <w:bottom w:w="90" w:type="dxa"/>
              <w:end w:w="120" w:type="dxa"/>
            </w:tcMar>
          </w:tcPr>
          <w:p>
            <w:r>
              <w:t>Mars 2026</w:t>
            </w:r>
          </w:p>
        </w:tc>
      </w:tr>
    </w:tbl>
    <w:p/>
    <w:p>
      <w:pPr>
        <w:jc w:val="center"/>
      </w:pPr>
      <w:r>
        <w:rPr>
          <w:sz w:val="20"/>
        </w:rPr>
        <w:t>Cette annexe complète le rapport principal avec les éléments techniques utiles pour comprendre, lancer et maintenir le projet.</w:t>
      </w:r>
    </w:p>
    <w:p>
      <w:r>
        <w:br w:type="page"/>
      </w:r>
    </w:p>
    <w:p>
      <w:pPr>
        <w:pStyle w:val="Heading1"/>
      </w:pPr>
      <w:r>
        <w:t>1. Objet du document</w:t>
      </w:r>
    </w:p>
    <w:p>
      <w:r>
        <w:t>Cette annexe rassemble les informations techniques utiles pour comprendre, lancer et maintenir le projet. Elle complète le rapport principal en détaillant l’architecture, les fichiers, les commandes d’exécution et les points d’attention.</w:t>
      </w:r>
    </w:p>
    <w:p>
      <w:pPr>
        <w:pStyle w:val="Heading1"/>
      </w:pPr>
      <w:r>
        <w:t>2. Arborescence utile du projet</w:t>
      </w:r>
    </w:p>
    <w:tbl>
      <w:tblPr>
        <w:tblStyle w:val="TableGrid"/>
        <w:tblW w:type="auto" w:w="0"/>
        <w:jc w:val="center"/>
        <w:tblLayout w:type="fixed"/>
        <w:tblLook w:firstColumn="1" w:firstRow="1" w:lastColumn="0" w:lastRow="0" w:noHBand="0" w:noVBand="1" w:val="04A0"/>
      </w:tblPr>
      <w:tblGrid>
        <w:gridCol w:w="4873"/>
        <w:gridCol w:w="4873"/>
      </w:tblGrid>
      <w:tr>
        <w:tc>
          <w:tcPr>
            <w:tcW w:type="dxa" w:w="2948"/>
            <w:vAlign w:val="center"/>
            <w:shd w:fill="DCE6F1"/>
            <w:tcMar>
              <w:top w:w="75" w:type="dxa"/>
              <w:start w:w="95" w:type="dxa"/>
              <w:bottom w:w="75" w:type="dxa"/>
              <w:end w:w="95" w:type="dxa"/>
            </w:tcMar>
          </w:tcPr>
          <w:p>
            <w:pPr>
              <w:jc w:val="center"/>
            </w:pPr>
            <w:r>
              <w:rPr>
                <w:b/>
                <w:sz w:val="17"/>
              </w:rPr>
              <w:t>Élément</w:t>
            </w:r>
          </w:p>
        </w:tc>
        <w:tc>
          <w:tcPr>
            <w:tcW w:type="dxa" w:w="5783"/>
            <w:vAlign w:val="center"/>
            <w:shd w:fill="DCE6F1"/>
            <w:tcMar>
              <w:top w:w="75" w:type="dxa"/>
              <w:start w:w="95" w:type="dxa"/>
              <w:bottom w:w="75" w:type="dxa"/>
              <w:end w:w="95" w:type="dxa"/>
            </w:tcMar>
          </w:tcPr>
          <w:p>
            <w:pPr>
              <w:jc w:val="center"/>
            </w:pPr>
            <w:r>
              <w:rPr>
                <w:b/>
                <w:sz w:val="17"/>
              </w:rPr>
              <w:t>Rôle</w:t>
            </w:r>
          </w:p>
        </w:tc>
      </w:tr>
      <w:tr>
        <w:tc>
          <w:tcPr>
            <w:tcW w:type="dxa" w:w="2948"/>
            <w:vAlign w:val="center"/>
            <w:tcMar>
              <w:top w:w="75" w:type="dxa"/>
              <w:start w:w="95" w:type="dxa"/>
              <w:bottom w:w="75" w:type="dxa"/>
              <w:end w:w="95" w:type="dxa"/>
            </w:tcMar>
          </w:tcPr>
          <w:p>
            <w:pPr>
              <w:jc w:val="left"/>
            </w:pPr>
            <w:r>
              <w:rPr>
                <w:sz w:val="18"/>
              </w:rPr>
              <w:t>Code/train.py</w:t>
            </w:r>
          </w:p>
        </w:tc>
        <w:tc>
          <w:tcPr>
            <w:tcW w:type="dxa" w:w="5783"/>
            <w:vAlign w:val="center"/>
            <w:tcMar>
              <w:top w:w="75" w:type="dxa"/>
              <w:start w:w="95" w:type="dxa"/>
              <w:bottom w:w="75" w:type="dxa"/>
              <w:end w:w="95" w:type="dxa"/>
            </w:tcMar>
          </w:tcPr>
          <w:p>
            <w:pPr>
              <w:jc w:val="left"/>
            </w:pPr>
            <w:r>
              <w:rPr>
                <w:sz w:val="18"/>
              </w:rPr>
              <w:t>Entraînement des modèles, validation croisée, optimisation du seuil et logs MLflow.</w:t>
            </w:r>
          </w:p>
        </w:tc>
      </w:tr>
      <w:tr>
        <w:tc>
          <w:tcPr>
            <w:tcW w:type="dxa" w:w="2948"/>
            <w:vAlign w:val="center"/>
            <w:tcMar>
              <w:top w:w="75" w:type="dxa"/>
              <w:start w:w="95" w:type="dxa"/>
              <w:bottom w:w="75" w:type="dxa"/>
              <w:end w:w="95" w:type="dxa"/>
            </w:tcMar>
          </w:tcPr>
          <w:p>
            <w:pPr>
              <w:jc w:val="left"/>
            </w:pPr>
            <w:r>
              <w:rPr>
                <w:sz w:val="18"/>
              </w:rPr>
              <w:t>Code/api.py</w:t>
            </w:r>
          </w:p>
        </w:tc>
        <w:tc>
          <w:tcPr>
            <w:tcW w:type="dxa" w:w="5783"/>
            <w:vAlign w:val="center"/>
            <w:tcMar>
              <w:top w:w="75" w:type="dxa"/>
              <w:start w:w="95" w:type="dxa"/>
              <w:bottom w:w="75" w:type="dxa"/>
              <w:end w:w="95" w:type="dxa"/>
            </w:tcMar>
          </w:tcPr>
          <w:p>
            <w:pPr>
              <w:jc w:val="left"/>
            </w:pPr>
            <w:r>
              <w:rPr>
                <w:sz w:val="18"/>
              </w:rPr>
              <w:t>Service FastAPI exposant le modèle de prédiction.</w:t>
            </w:r>
          </w:p>
        </w:tc>
      </w:tr>
      <w:tr>
        <w:tc>
          <w:tcPr>
            <w:tcW w:type="dxa" w:w="2948"/>
            <w:vAlign w:val="center"/>
            <w:tcMar>
              <w:top w:w="75" w:type="dxa"/>
              <w:start w:w="95" w:type="dxa"/>
              <w:bottom w:w="75" w:type="dxa"/>
              <w:end w:w="95" w:type="dxa"/>
            </w:tcMar>
          </w:tcPr>
          <w:p>
            <w:pPr>
              <w:jc w:val="left"/>
            </w:pPr>
            <w:r>
              <w:rPr>
                <w:sz w:val="18"/>
              </w:rPr>
              <w:t>Code/app.py</w:t>
            </w:r>
          </w:p>
        </w:tc>
        <w:tc>
          <w:tcPr>
            <w:tcW w:type="dxa" w:w="5783"/>
            <w:vAlign w:val="center"/>
            <w:tcMar>
              <w:top w:w="75" w:type="dxa"/>
              <w:start w:w="95" w:type="dxa"/>
              <w:bottom w:w="75" w:type="dxa"/>
              <w:end w:w="95" w:type="dxa"/>
            </w:tcMar>
          </w:tcPr>
          <w:p>
            <w:pPr>
              <w:jc w:val="left"/>
            </w:pPr>
            <w:r>
              <w:rPr>
                <w:sz w:val="18"/>
              </w:rPr>
              <w:t>Dashboard Streamlit connecté à l’API.</w:t>
            </w:r>
          </w:p>
        </w:tc>
      </w:tr>
      <w:tr>
        <w:tc>
          <w:tcPr>
            <w:tcW w:type="dxa" w:w="2948"/>
            <w:vAlign w:val="center"/>
            <w:tcMar>
              <w:top w:w="75" w:type="dxa"/>
              <w:start w:w="95" w:type="dxa"/>
              <w:bottom w:w="75" w:type="dxa"/>
              <w:end w:w="95" w:type="dxa"/>
            </w:tcMar>
          </w:tcPr>
          <w:p>
            <w:pPr>
              <w:jc w:val="left"/>
            </w:pPr>
            <w:r>
              <w:rPr>
                <w:sz w:val="18"/>
              </w:rPr>
              <w:t>Code/analysis.ipynb</w:t>
            </w:r>
          </w:p>
        </w:tc>
        <w:tc>
          <w:tcPr>
            <w:tcW w:type="dxa" w:w="5783"/>
            <w:vAlign w:val="center"/>
            <w:tcMar>
              <w:top w:w="75" w:type="dxa"/>
              <w:start w:w="95" w:type="dxa"/>
              <w:bottom w:w="75" w:type="dxa"/>
              <w:end w:w="95" w:type="dxa"/>
            </w:tcMar>
          </w:tcPr>
          <w:p>
            <w:pPr>
              <w:jc w:val="left"/>
            </w:pPr>
            <w:r>
              <w:rPr>
                <w:sz w:val="18"/>
              </w:rPr>
              <w:t>Notebook de modélisation et comparaison des modèles.</w:t>
            </w:r>
          </w:p>
        </w:tc>
      </w:tr>
      <w:tr>
        <w:tc>
          <w:tcPr>
            <w:tcW w:type="dxa" w:w="2948"/>
            <w:vAlign w:val="center"/>
            <w:tcMar>
              <w:top w:w="75" w:type="dxa"/>
              <w:start w:w="95" w:type="dxa"/>
              <w:bottom w:w="75" w:type="dxa"/>
              <w:end w:w="95" w:type="dxa"/>
            </w:tcMar>
          </w:tcPr>
          <w:p>
            <w:pPr>
              <w:jc w:val="left"/>
            </w:pPr>
            <w:r>
              <w:rPr>
                <w:sz w:val="18"/>
              </w:rPr>
              <w:t>Code/traitement_eda.ipynb</w:t>
            </w:r>
          </w:p>
        </w:tc>
        <w:tc>
          <w:tcPr>
            <w:tcW w:type="dxa" w:w="5783"/>
            <w:vAlign w:val="center"/>
            <w:tcMar>
              <w:top w:w="75" w:type="dxa"/>
              <w:start w:w="95" w:type="dxa"/>
              <w:bottom w:w="75" w:type="dxa"/>
              <w:end w:w="95" w:type="dxa"/>
            </w:tcMar>
          </w:tcPr>
          <w:p>
            <w:pPr>
              <w:jc w:val="left"/>
            </w:pPr>
            <w:r>
              <w:rPr>
                <w:sz w:val="18"/>
              </w:rPr>
              <w:t>Notebook d’analyse exploratoire des données.</w:t>
            </w:r>
          </w:p>
        </w:tc>
      </w:tr>
      <w:tr>
        <w:tc>
          <w:tcPr>
            <w:tcW w:type="dxa" w:w="2948"/>
            <w:vAlign w:val="center"/>
            <w:tcMar>
              <w:top w:w="75" w:type="dxa"/>
              <w:start w:w="95" w:type="dxa"/>
              <w:bottom w:w="75" w:type="dxa"/>
              <w:end w:w="95" w:type="dxa"/>
            </w:tcMar>
          </w:tcPr>
          <w:p>
            <w:pPr>
              <w:jc w:val="left"/>
            </w:pPr>
            <w:r>
              <w:rPr>
                <w:sz w:val="18"/>
              </w:rPr>
              <w:t>SOURCE/dataset.csv</w:t>
            </w:r>
          </w:p>
        </w:tc>
        <w:tc>
          <w:tcPr>
            <w:tcW w:type="dxa" w:w="5783"/>
            <w:vAlign w:val="center"/>
            <w:tcMar>
              <w:top w:w="75" w:type="dxa"/>
              <w:start w:w="95" w:type="dxa"/>
              <w:bottom w:w="75" w:type="dxa"/>
              <w:end w:w="95" w:type="dxa"/>
            </w:tcMar>
          </w:tcPr>
          <w:p>
            <w:pPr>
              <w:jc w:val="left"/>
            </w:pPr>
            <w:r>
              <w:rPr>
                <w:sz w:val="18"/>
              </w:rPr>
              <w:t>Jeu de données source.</w:t>
            </w:r>
          </w:p>
        </w:tc>
      </w:tr>
      <w:tr>
        <w:tc>
          <w:tcPr>
            <w:tcW w:type="dxa" w:w="2948"/>
            <w:vAlign w:val="center"/>
            <w:tcMar>
              <w:top w:w="75" w:type="dxa"/>
              <w:start w:w="95" w:type="dxa"/>
              <w:bottom w:w="75" w:type="dxa"/>
              <w:end w:w="95" w:type="dxa"/>
            </w:tcMar>
          </w:tcPr>
          <w:p>
            <w:pPr>
              <w:jc w:val="left"/>
            </w:pPr>
            <w:r>
              <w:rPr>
                <w:sz w:val="18"/>
              </w:rPr>
              <w:t>artifacts/</w:t>
            </w:r>
          </w:p>
        </w:tc>
        <w:tc>
          <w:tcPr>
            <w:tcW w:type="dxa" w:w="5783"/>
            <w:vAlign w:val="center"/>
            <w:tcMar>
              <w:top w:w="75" w:type="dxa"/>
              <w:start w:w="95" w:type="dxa"/>
              <w:bottom w:w="75" w:type="dxa"/>
              <w:end w:w="95" w:type="dxa"/>
            </w:tcMar>
          </w:tcPr>
          <w:p>
            <w:pPr>
              <w:jc w:val="left"/>
            </w:pPr>
            <w:r>
              <w:rPr>
                <w:sz w:val="18"/>
              </w:rPr>
              <w:t>Modèle sauvegardé, configuration, métriques, prédictions test.</w:t>
            </w:r>
          </w:p>
        </w:tc>
      </w:tr>
      <w:tr>
        <w:tc>
          <w:tcPr>
            <w:tcW w:type="dxa" w:w="2948"/>
            <w:vAlign w:val="center"/>
            <w:tcMar>
              <w:top w:w="75" w:type="dxa"/>
              <w:start w:w="95" w:type="dxa"/>
              <w:bottom w:w="75" w:type="dxa"/>
              <w:end w:w="95" w:type="dxa"/>
            </w:tcMar>
          </w:tcPr>
          <w:p>
            <w:pPr>
              <w:jc w:val="left"/>
            </w:pPr>
            <w:r>
              <w:rPr>
                <w:sz w:val="18"/>
              </w:rPr>
              <w:t>mlflow.db</w:t>
            </w:r>
          </w:p>
        </w:tc>
        <w:tc>
          <w:tcPr>
            <w:tcW w:type="dxa" w:w="5783"/>
            <w:vAlign w:val="center"/>
            <w:tcMar>
              <w:top w:w="75" w:type="dxa"/>
              <w:start w:w="95" w:type="dxa"/>
              <w:bottom w:w="75" w:type="dxa"/>
              <w:end w:w="95" w:type="dxa"/>
            </w:tcMar>
          </w:tcPr>
          <w:p>
            <w:pPr>
              <w:jc w:val="left"/>
            </w:pPr>
            <w:r>
              <w:rPr>
                <w:sz w:val="18"/>
              </w:rPr>
              <w:t>Base locale MLflow.</w:t>
            </w:r>
          </w:p>
        </w:tc>
      </w:tr>
    </w:tbl>
    <w:p>
      <w:pPr>
        <w:pStyle w:val="Heading1"/>
      </w:pPr>
      <w:r>
        <w:t>3. Pipeline de machine learning</w:t>
      </w:r>
    </w:p>
    <w:p>
      <w:pPr>
        <w:pStyle w:val="ListBullet"/>
      </w:pPr>
      <w:r>
        <w:t>Variables d’entrée : 10 features alignées entre entraînement, API et dashboard.</w:t>
      </w:r>
    </w:p>
    <w:p>
      <w:pPr>
        <w:pStyle w:val="ListBullet"/>
      </w:pPr>
      <w:r>
        <w:t>Prétraitement numérique : SimpleImputer(median) puis StandardScaler.</w:t>
      </w:r>
    </w:p>
    <w:p>
      <w:pPr>
        <w:pStyle w:val="ListBullet"/>
      </w:pPr>
      <w:r>
        <w:t>Prétraitement catégoriel : SimpleImputer(most_frequent) puis OneHotEncoder(handle_unknown='ignore').</w:t>
      </w:r>
    </w:p>
    <w:p>
      <w:pPr>
        <w:pStyle w:val="ListBullet"/>
      </w:pPr>
      <w:r>
        <w:t>Modèles comparés : Logistic Regression, Random Forest, Gradient Boosting, MLPClassifier.</w:t>
      </w:r>
    </w:p>
    <w:p>
      <w:pPr>
        <w:pStyle w:val="ListBullet"/>
      </w:pPr>
      <w:r>
        <w:t>Validation : StratifiedKFold à 5 folds.</w:t>
      </w:r>
    </w:p>
    <w:p>
      <w:pPr>
        <w:pStyle w:val="ListBullet"/>
      </w:pPr>
      <w:r>
        <w:t>Choix du seuil : recherche entre 0,10 et 0,90 par pas de 0,05 avec maximisation du F2-score.</w:t>
      </w:r>
    </w:p>
    <w:p>
      <w:pPr>
        <w:pStyle w:val="Heading1"/>
      </w:pPr>
      <w:r>
        <w:t>4. Paramètres principaux</w:t>
      </w:r>
    </w:p>
    <w:tbl>
      <w:tblPr>
        <w:tblStyle w:val="TableGrid"/>
        <w:tblW w:type="auto" w:w="0"/>
        <w:jc w:val="center"/>
        <w:tblLayout w:type="fixed"/>
        <w:tblLook w:firstColumn="1" w:firstRow="1" w:lastColumn="0" w:lastRow="0" w:noHBand="0" w:noVBand="1" w:val="04A0"/>
      </w:tblPr>
      <w:tblGrid>
        <w:gridCol w:w="4873"/>
        <w:gridCol w:w="4873"/>
      </w:tblGrid>
      <w:tr>
        <w:tc>
          <w:tcPr>
            <w:tcW w:type="dxa" w:w="3402"/>
            <w:vAlign w:val="center"/>
            <w:shd w:fill="DCE6F1"/>
            <w:tcMar>
              <w:top w:w="75" w:type="dxa"/>
              <w:start w:w="95" w:type="dxa"/>
              <w:bottom w:w="75" w:type="dxa"/>
              <w:end w:w="95" w:type="dxa"/>
            </w:tcMar>
          </w:tcPr>
          <w:p>
            <w:pPr>
              <w:jc w:val="center"/>
            </w:pPr>
            <w:r>
              <w:rPr>
                <w:b/>
                <w:sz w:val="17"/>
              </w:rPr>
              <w:t>Paramètre</w:t>
            </w:r>
          </w:p>
        </w:tc>
        <w:tc>
          <w:tcPr>
            <w:tcW w:type="dxa" w:w="2268"/>
            <w:vAlign w:val="center"/>
            <w:shd w:fill="DCE6F1"/>
            <w:tcMar>
              <w:top w:w="75" w:type="dxa"/>
              <w:start w:w="95" w:type="dxa"/>
              <w:bottom w:w="75" w:type="dxa"/>
              <w:end w:w="95" w:type="dxa"/>
            </w:tcMar>
          </w:tcPr>
          <w:p>
            <w:pPr>
              <w:jc w:val="center"/>
            </w:pPr>
            <w:r>
              <w:rPr>
                <w:b/>
                <w:sz w:val="17"/>
              </w:rPr>
              <w:t>Valeur</w:t>
            </w:r>
          </w:p>
        </w:tc>
      </w:tr>
      <w:tr>
        <w:tc>
          <w:tcPr>
            <w:tcW w:type="dxa" w:w="3402"/>
            <w:vAlign w:val="center"/>
            <w:tcMar>
              <w:top w:w="75" w:type="dxa"/>
              <w:start w:w="95" w:type="dxa"/>
              <w:bottom w:w="75" w:type="dxa"/>
              <w:end w:w="95" w:type="dxa"/>
            </w:tcMar>
          </w:tcPr>
          <w:p>
            <w:pPr>
              <w:jc w:val="left"/>
            </w:pPr>
            <w:r>
              <w:rPr>
                <w:sz w:val="18"/>
              </w:rPr>
              <w:t>RANDOM_STATE</w:t>
            </w:r>
          </w:p>
        </w:tc>
        <w:tc>
          <w:tcPr>
            <w:tcW w:type="dxa" w:w="2268"/>
            <w:vAlign w:val="center"/>
            <w:tcMar>
              <w:top w:w="75" w:type="dxa"/>
              <w:start w:w="95" w:type="dxa"/>
              <w:bottom w:w="75" w:type="dxa"/>
              <w:end w:w="95" w:type="dxa"/>
            </w:tcMar>
          </w:tcPr>
          <w:p>
            <w:pPr>
              <w:jc w:val="left"/>
            </w:pPr>
            <w:r>
              <w:rPr>
                <w:sz w:val="18"/>
              </w:rPr>
              <w:t>42</w:t>
            </w:r>
          </w:p>
        </w:tc>
      </w:tr>
      <w:tr>
        <w:tc>
          <w:tcPr>
            <w:tcW w:type="dxa" w:w="3402"/>
            <w:vAlign w:val="center"/>
            <w:tcMar>
              <w:top w:w="75" w:type="dxa"/>
              <w:start w:w="95" w:type="dxa"/>
              <w:bottom w:w="75" w:type="dxa"/>
              <w:end w:w="95" w:type="dxa"/>
            </w:tcMar>
          </w:tcPr>
          <w:p>
            <w:pPr>
              <w:jc w:val="left"/>
            </w:pPr>
            <w:r>
              <w:rPr>
                <w:sz w:val="18"/>
              </w:rPr>
              <w:t>TEST_SIZE</w:t>
            </w:r>
          </w:p>
        </w:tc>
        <w:tc>
          <w:tcPr>
            <w:tcW w:type="dxa" w:w="2268"/>
            <w:vAlign w:val="center"/>
            <w:tcMar>
              <w:top w:w="75" w:type="dxa"/>
              <w:start w:w="95" w:type="dxa"/>
              <w:bottom w:w="75" w:type="dxa"/>
              <w:end w:w="95" w:type="dxa"/>
            </w:tcMar>
          </w:tcPr>
          <w:p>
            <w:pPr>
              <w:jc w:val="left"/>
            </w:pPr>
            <w:r>
              <w:rPr>
                <w:sz w:val="18"/>
              </w:rPr>
              <w:t>0,2</w:t>
            </w:r>
          </w:p>
        </w:tc>
      </w:tr>
      <w:tr>
        <w:tc>
          <w:tcPr>
            <w:tcW w:type="dxa" w:w="3402"/>
            <w:vAlign w:val="center"/>
            <w:tcMar>
              <w:top w:w="75" w:type="dxa"/>
              <w:start w:w="95" w:type="dxa"/>
              <w:bottom w:w="75" w:type="dxa"/>
              <w:end w:w="95" w:type="dxa"/>
            </w:tcMar>
          </w:tcPr>
          <w:p>
            <w:pPr>
              <w:jc w:val="left"/>
            </w:pPr>
            <w:r>
              <w:rPr>
                <w:sz w:val="18"/>
              </w:rPr>
              <w:t>CV_SPLITS</w:t>
            </w:r>
          </w:p>
        </w:tc>
        <w:tc>
          <w:tcPr>
            <w:tcW w:type="dxa" w:w="2268"/>
            <w:vAlign w:val="center"/>
            <w:tcMar>
              <w:top w:w="75" w:type="dxa"/>
              <w:start w:w="95" w:type="dxa"/>
              <w:bottom w:w="75" w:type="dxa"/>
              <w:end w:w="95" w:type="dxa"/>
            </w:tcMar>
          </w:tcPr>
          <w:p>
            <w:pPr>
              <w:jc w:val="left"/>
            </w:pPr>
            <w:r>
              <w:rPr>
                <w:sz w:val="18"/>
              </w:rPr>
              <w:t>5</w:t>
            </w:r>
          </w:p>
        </w:tc>
      </w:tr>
      <w:tr>
        <w:tc>
          <w:tcPr>
            <w:tcW w:type="dxa" w:w="3402"/>
            <w:vAlign w:val="center"/>
            <w:tcMar>
              <w:top w:w="75" w:type="dxa"/>
              <w:start w:w="95" w:type="dxa"/>
              <w:bottom w:w="75" w:type="dxa"/>
              <w:end w:w="95" w:type="dxa"/>
            </w:tcMar>
          </w:tcPr>
          <w:p>
            <w:pPr>
              <w:jc w:val="left"/>
            </w:pPr>
            <w:r>
              <w:rPr>
                <w:sz w:val="18"/>
              </w:rPr>
              <w:t>MODEL_NAME</w:t>
            </w:r>
          </w:p>
        </w:tc>
        <w:tc>
          <w:tcPr>
            <w:tcW w:type="dxa" w:w="2268"/>
            <w:vAlign w:val="center"/>
            <w:tcMar>
              <w:top w:w="75" w:type="dxa"/>
              <w:start w:w="95" w:type="dxa"/>
              <w:bottom w:w="75" w:type="dxa"/>
              <w:end w:w="95" w:type="dxa"/>
            </w:tcMar>
          </w:tcPr>
          <w:p>
            <w:pPr>
              <w:jc w:val="left"/>
            </w:pPr>
            <w:r>
              <w:rPr>
                <w:sz w:val="18"/>
              </w:rPr>
              <w:t>Churn_Classifier</w:t>
            </w:r>
          </w:p>
        </w:tc>
      </w:tr>
      <w:tr>
        <w:tc>
          <w:tcPr>
            <w:tcW w:type="dxa" w:w="3402"/>
            <w:vAlign w:val="center"/>
            <w:tcMar>
              <w:top w:w="75" w:type="dxa"/>
              <w:start w:w="95" w:type="dxa"/>
              <w:bottom w:w="75" w:type="dxa"/>
              <w:end w:w="95" w:type="dxa"/>
            </w:tcMar>
          </w:tcPr>
          <w:p>
            <w:pPr>
              <w:jc w:val="left"/>
            </w:pPr>
            <w:r>
              <w:rPr>
                <w:sz w:val="18"/>
              </w:rPr>
              <w:t>EXPERIMENT_NAME</w:t>
            </w:r>
          </w:p>
        </w:tc>
        <w:tc>
          <w:tcPr>
            <w:tcW w:type="dxa" w:w="2268"/>
            <w:vAlign w:val="center"/>
            <w:tcMar>
              <w:top w:w="75" w:type="dxa"/>
              <w:start w:w="95" w:type="dxa"/>
              <w:bottom w:w="75" w:type="dxa"/>
              <w:end w:w="95" w:type="dxa"/>
            </w:tcMar>
          </w:tcPr>
          <w:p>
            <w:pPr>
              <w:jc w:val="left"/>
            </w:pPr>
            <w:r>
              <w:rPr>
                <w:sz w:val="18"/>
              </w:rPr>
              <w:t>churn_project</w:t>
            </w:r>
          </w:p>
        </w:tc>
      </w:tr>
      <w:tr>
        <w:tc>
          <w:tcPr>
            <w:tcW w:type="dxa" w:w="3402"/>
            <w:vAlign w:val="center"/>
            <w:tcMar>
              <w:top w:w="75" w:type="dxa"/>
              <w:start w:w="95" w:type="dxa"/>
              <w:bottom w:w="75" w:type="dxa"/>
              <w:end w:w="95" w:type="dxa"/>
            </w:tcMar>
          </w:tcPr>
          <w:p>
            <w:pPr>
              <w:jc w:val="left"/>
            </w:pPr>
            <w:r>
              <w:rPr>
                <w:sz w:val="18"/>
              </w:rPr>
              <w:t>Seuil du modèle final</w:t>
            </w:r>
          </w:p>
        </w:tc>
        <w:tc>
          <w:tcPr>
            <w:tcW w:type="dxa" w:w="2268"/>
            <w:vAlign w:val="center"/>
            <w:tcMar>
              <w:top w:w="75" w:type="dxa"/>
              <w:start w:w="95" w:type="dxa"/>
              <w:bottom w:w="75" w:type="dxa"/>
              <w:end w:w="95" w:type="dxa"/>
            </w:tcMar>
          </w:tcPr>
          <w:p>
            <w:pPr>
              <w:jc w:val="left"/>
            </w:pPr>
            <w:r>
              <w:rPr>
                <w:sz w:val="18"/>
              </w:rPr>
              <w:t>0.10</w:t>
            </w:r>
          </w:p>
        </w:tc>
      </w:tr>
      <w:tr>
        <w:tc>
          <w:tcPr>
            <w:tcW w:type="dxa" w:w="3402"/>
            <w:vAlign w:val="center"/>
            <w:tcMar>
              <w:top w:w="75" w:type="dxa"/>
              <w:start w:w="95" w:type="dxa"/>
              <w:bottom w:w="75" w:type="dxa"/>
              <w:end w:w="95" w:type="dxa"/>
            </w:tcMar>
          </w:tcPr>
          <w:p>
            <w:pPr>
              <w:jc w:val="left"/>
            </w:pPr>
            <w:r>
              <w:rPr>
                <w:sz w:val="18"/>
              </w:rPr>
              <w:t>Modèle final</w:t>
            </w:r>
          </w:p>
        </w:tc>
        <w:tc>
          <w:tcPr>
            <w:tcW w:type="dxa" w:w="2268"/>
            <w:vAlign w:val="center"/>
            <w:tcMar>
              <w:top w:w="75" w:type="dxa"/>
              <w:start w:w="95" w:type="dxa"/>
              <w:bottom w:w="75" w:type="dxa"/>
              <w:end w:w="95" w:type="dxa"/>
            </w:tcMar>
          </w:tcPr>
          <w:p>
            <w:pPr>
              <w:jc w:val="left"/>
            </w:pPr>
            <w:r>
              <w:rPr>
                <w:sz w:val="18"/>
              </w:rPr>
              <w:t>Random Forest</w:t>
            </w:r>
          </w:p>
        </w:tc>
      </w:tr>
    </w:tbl>
    <w:p>
      <w:pPr>
        <w:pStyle w:val="Heading1"/>
      </w:pPr>
      <w:r>
        <w:t>5. Résultats techniques à connaître</w:t>
      </w:r>
    </w:p>
    <w:p>
      <w:r>
        <w:t>Le modèle final enregistré dans les artefacts est un Random Forest. Les scores de référence actuels sont les suivants :</w:t>
      </w:r>
    </w:p>
    <w:tbl>
      <w:tblPr>
        <w:tblStyle w:val="TableGrid"/>
        <w:tblW w:type="auto" w:w="0"/>
        <w:jc w:val="center"/>
        <w:tblLayout w:type="fixed"/>
        <w:tblLook w:firstColumn="1" w:firstRow="1" w:lastColumn="0" w:lastRow="0" w:noHBand="0" w:noVBand="1" w:val="04A0"/>
      </w:tblPr>
      <w:tblGrid>
        <w:gridCol w:w="4873"/>
        <w:gridCol w:w="4873"/>
      </w:tblGrid>
      <w:tr>
        <w:tc>
          <w:tcPr>
            <w:tcW w:type="dxa" w:w="3402"/>
            <w:vAlign w:val="center"/>
            <w:shd w:fill="DCE6F1"/>
            <w:tcMar>
              <w:top w:w="75" w:type="dxa"/>
              <w:start w:w="95" w:type="dxa"/>
              <w:bottom w:w="75" w:type="dxa"/>
              <w:end w:w="95" w:type="dxa"/>
            </w:tcMar>
          </w:tcPr>
          <w:p>
            <w:pPr>
              <w:jc w:val="center"/>
            </w:pPr>
            <w:r>
              <w:rPr>
                <w:b/>
                <w:sz w:val="17"/>
              </w:rPr>
              <w:t>Mesure</w:t>
            </w:r>
          </w:p>
        </w:tc>
        <w:tc>
          <w:tcPr>
            <w:tcW w:type="dxa" w:w="1701"/>
            <w:vAlign w:val="center"/>
            <w:shd w:fill="DCE6F1"/>
            <w:tcMar>
              <w:top w:w="75" w:type="dxa"/>
              <w:start w:w="95" w:type="dxa"/>
              <w:bottom w:w="75" w:type="dxa"/>
              <w:end w:w="95" w:type="dxa"/>
            </w:tcMar>
          </w:tcPr>
          <w:p>
            <w:pPr>
              <w:jc w:val="center"/>
            </w:pPr>
            <w:r>
              <w:rPr>
                <w:b/>
                <w:sz w:val="17"/>
              </w:rPr>
              <w:t>Valeur</w:t>
            </w:r>
          </w:p>
        </w:tc>
      </w:tr>
      <w:tr>
        <w:tc>
          <w:tcPr>
            <w:tcW w:type="dxa" w:w="3402"/>
            <w:vAlign w:val="center"/>
            <w:tcMar>
              <w:top w:w="75" w:type="dxa"/>
              <w:start w:w="95" w:type="dxa"/>
              <w:bottom w:w="75" w:type="dxa"/>
              <w:end w:w="95" w:type="dxa"/>
            </w:tcMar>
          </w:tcPr>
          <w:p>
            <w:pPr>
              <w:jc w:val="left"/>
            </w:pPr>
            <w:r>
              <w:rPr>
                <w:sz w:val="18"/>
              </w:rPr>
              <w:t>CV PR-AUC</w:t>
            </w:r>
          </w:p>
        </w:tc>
        <w:tc>
          <w:tcPr>
            <w:tcW w:type="dxa" w:w="1701"/>
            <w:vAlign w:val="center"/>
            <w:tcMar>
              <w:top w:w="75" w:type="dxa"/>
              <w:start w:w="95" w:type="dxa"/>
              <w:bottom w:w="75" w:type="dxa"/>
              <w:end w:w="95" w:type="dxa"/>
            </w:tcMar>
          </w:tcPr>
          <w:p>
            <w:pPr>
              <w:jc w:val="left"/>
            </w:pPr>
            <w:r>
              <w:rPr>
                <w:sz w:val="18"/>
              </w:rPr>
              <w:t>0.251</w:t>
            </w:r>
          </w:p>
        </w:tc>
      </w:tr>
      <w:tr>
        <w:tc>
          <w:tcPr>
            <w:tcW w:type="dxa" w:w="3402"/>
            <w:vAlign w:val="center"/>
            <w:tcMar>
              <w:top w:w="75" w:type="dxa"/>
              <w:start w:w="95" w:type="dxa"/>
              <w:bottom w:w="75" w:type="dxa"/>
              <w:end w:w="95" w:type="dxa"/>
            </w:tcMar>
          </w:tcPr>
          <w:p>
            <w:pPr>
              <w:jc w:val="left"/>
            </w:pPr>
            <w:r>
              <w:rPr>
                <w:sz w:val="18"/>
              </w:rPr>
              <w:t>Test ROC-AUC</w:t>
            </w:r>
          </w:p>
        </w:tc>
        <w:tc>
          <w:tcPr>
            <w:tcW w:type="dxa" w:w="1701"/>
            <w:vAlign w:val="center"/>
            <w:tcMar>
              <w:top w:w="75" w:type="dxa"/>
              <w:start w:w="95" w:type="dxa"/>
              <w:bottom w:w="75" w:type="dxa"/>
              <w:end w:w="95" w:type="dxa"/>
            </w:tcMar>
          </w:tcPr>
          <w:p>
            <w:pPr>
              <w:jc w:val="left"/>
            </w:pPr>
            <w:r>
              <w:rPr>
                <w:sz w:val="18"/>
              </w:rPr>
              <w:t>0.733</w:t>
            </w:r>
          </w:p>
        </w:tc>
      </w:tr>
      <w:tr>
        <w:tc>
          <w:tcPr>
            <w:tcW w:type="dxa" w:w="3402"/>
            <w:vAlign w:val="center"/>
            <w:tcMar>
              <w:top w:w="75" w:type="dxa"/>
              <w:start w:w="95" w:type="dxa"/>
              <w:bottom w:w="75" w:type="dxa"/>
              <w:end w:w="95" w:type="dxa"/>
            </w:tcMar>
          </w:tcPr>
          <w:p>
            <w:pPr>
              <w:jc w:val="left"/>
            </w:pPr>
            <w:r>
              <w:rPr>
                <w:sz w:val="18"/>
              </w:rPr>
              <w:t>Test PR-AUC</w:t>
            </w:r>
          </w:p>
        </w:tc>
        <w:tc>
          <w:tcPr>
            <w:tcW w:type="dxa" w:w="1701"/>
            <w:vAlign w:val="center"/>
            <w:tcMar>
              <w:top w:w="75" w:type="dxa"/>
              <w:start w:w="95" w:type="dxa"/>
              <w:bottom w:w="75" w:type="dxa"/>
              <w:end w:w="95" w:type="dxa"/>
            </w:tcMar>
          </w:tcPr>
          <w:p>
            <w:pPr>
              <w:jc w:val="left"/>
            </w:pPr>
            <w:r>
              <w:rPr>
                <w:sz w:val="18"/>
              </w:rPr>
              <w:t>0.249</w:t>
            </w:r>
          </w:p>
        </w:tc>
      </w:tr>
      <w:tr>
        <w:tc>
          <w:tcPr>
            <w:tcW w:type="dxa" w:w="3402"/>
            <w:vAlign w:val="center"/>
            <w:tcMar>
              <w:top w:w="75" w:type="dxa"/>
              <w:start w:w="95" w:type="dxa"/>
              <w:bottom w:w="75" w:type="dxa"/>
              <w:end w:w="95" w:type="dxa"/>
            </w:tcMar>
          </w:tcPr>
          <w:p>
            <w:pPr>
              <w:jc w:val="left"/>
            </w:pPr>
            <w:r>
              <w:rPr>
                <w:sz w:val="18"/>
              </w:rPr>
              <w:t>Test recall</w:t>
            </w:r>
          </w:p>
        </w:tc>
        <w:tc>
          <w:tcPr>
            <w:tcW w:type="dxa" w:w="1701"/>
            <w:vAlign w:val="center"/>
            <w:tcMar>
              <w:top w:w="75" w:type="dxa"/>
              <w:start w:w="95" w:type="dxa"/>
              <w:bottom w:w="75" w:type="dxa"/>
              <w:end w:w="95" w:type="dxa"/>
            </w:tcMar>
          </w:tcPr>
          <w:p>
            <w:pPr>
              <w:jc w:val="left"/>
            </w:pPr>
            <w:r>
              <w:rPr>
                <w:sz w:val="18"/>
              </w:rPr>
              <w:t>0.667</w:t>
            </w:r>
          </w:p>
        </w:tc>
      </w:tr>
      <w:tr>
        <w:tc>
          <w:tcPr>
            <w:tcW w:type="dxa" w:w="3402"/>
            <w:vAlign w:val="center"/>
            <w:tcMar>
              <w:top w:w="75" w:type="dxa"/>
              <w:start w:w="95" w:type="dxa"/>
              <w:bottom w:w="75" w:type="dxa"/>
              <w:end w:w="95" w:type="dxa"/>
            </w:tcMar>
          </w:tcPr>
          <w:p>
            <w:pPr>
              <w:jc w:val="left"/>
            </w:pPr>
            <w:r>
              <w:rPr>
                <w:sz w:val="18"/>
              </w:rPr>
              <w:t>Test F1</w:t>
            </w:r>
          </w:p>
        </w:tc>
        <w:tc>
          <w:tcPr>
            <w:tcW w:type="dxa" w:w="1701"/>
            <w:vAlign w:val="center"/>
            <w:tcMar>
              <w:top w:w="75" w:type="dxa"/>
              <w:start w:w="95" w:type="dxa"/>
              <w:bottom w:w="75" w:type="dxa"/>
              <w:end w:w="95" w:type="dxa"/>
            </w:tcMar>
          </w:tcPr>
          <w:p>
            <w:pPr>
              <w:jc w:val="left"/>
            </w:pPr>
            <w:r>
              <w:rPr>
                <w:sz w:val="18"/>
              </w:rPr>
              <w:t>0.314</w:t>
            </w:r>
          </w:p>
        </w:tc>
      </w:tr>
    </w:tbl>
    <w:p>
      <w:r>
        <w:t>Ces valeurs servent de repère pour vérifier qu’une nouvelle exécution n’a pas fortement dégradé la qualité du pipeline.</w:t>
      </w:r>
    </w:p>
    <w:p>
      <w:pPr>
        <w:pStyle w:val="Heading1"/>
      </w:pPr>
      <w:r>
        <w:t>6. API FastAPI</w:t>
      </w:r>
    </w:p>
    <w:p>
      <w:r>
        <w:t>L’API tente d’abord de charger le modèle depuis MLflow via l’alias `production`. En cas d’échec, un fallback local charge `artifacts/best_model.joblib`.</w:t>
      </w:r>
    </w:p>
    <w:tbl>
      <w:tblPr>
        <w:tblStyle w:val="TableGrid"/>
        <w:tblW w:type="auto" w:w="0"/>
        <w:jc w:val="center"/>
        <w:tblLayout w:type="fixed"/>
        <w:tblLook w:firstColumn="1" w:firstRow="1" w:lastColumn="0" w:lastRow="0" w:noHBand="0" w:noVBand="1" w:val="04A0"/>
      </w:tblPr>
      <w:tblGrid>
        <w:gridCol w:w="3249"/>
        <w:gridCol w:w="3249"/>
        <w:gridCol w:w="3249"/>
      </w:tblGrid>
      <w:tr>
        <w:tc>
          <w:tcPr>
            <w:tcW w:type="dxa" w:w="1701"/>
            <w:vAlign w:val="center"/>
            <w:shd w:fill="DCE6F1"/>
            <w:tcMar>
              <w:top w:w="75" w:type="dxa"/>
              <w:start w:w="95" w:type="dxa"/>
              <w:bottom w:w="75" w:type="dxa"/>
              <w:end w:w="95" w:type="dxa"/>
            </w:tcMar>
          </w:tcPr>
          <w:p>
            <w:pPr>
              <w:jc w:val="center"/>
            </w:pPr>
            <w:r>
              <w:rPr>
                <w:b/>
                <w:sz w:val="17"/>
              </w:rPr>
              <w:t>Endpoint</w:t>
            </w:r>
          </w:p>
        </w:tc>
        <w:tc>
          <w:tcPr>
            <w:tcW w:type="dxa" w:w="1134"/>
            <w:vAlign w:val="center"/>
            <w:shd w:fill="DCE6F1"/>
            <w:tcMar>
              <w:top w:w="75" w:type="dxa"/>
              <w:start w:w="95" w:type="dxa"/>
              <w:bottom w:w="75" w:type="dxa"/>
              <w:end w:w="95" w:type="dxa"/>
            </w:tcMar>
          </w:tcPr>
          <w:p>
            <w:pPr>
              <w:jc w:val="center"/>
            </w:pPr>
            <w:r>
              <w:rPr>
                <w:b/>
                <w:sz w:val="17"/>
              </w:rPr>
              <w:t>Méthode</w:t>
            </w:r>
          </w:p>
        </w:tc>
        <w:tc>
          <w:tcPr>
            <w:tcW w:type="dxa" w:w="5216"/>
            <w:vAlign w:val="center"/>
            <w:shd w:fill="DCE6F1"/>
            <w:tcMar>
              <w:top w:w="75" w:type="dxa"/>
              <w:start w:w="95" w:type="dxa"/>
              <w:bottom w:w="75" w:type="dxa"/>
              <w:end w:w="95" w:type="dxa"/>
            </w:tcMar>
          </w:tcPr>
          <w:p>
            <w:pPr>
              <w:jc w:val="center"/>
            </w:pPr>
            <w:r>
              <w:rPr>
                <w:b/>
                <w:sz w:val="17"/>
              </w:rPr>
              <w:t>Utilité</w:t>
            </w:r>
          </w:p>
        </w:tc>
      </w:tr>
      <w:tr>
        <w:tc>
          <w:tcPr>
            <w:tcW w:type="dxa" w:w="1701"/>
            <w:vAlign w:val="center"/>
            <w:tcMar>
              <w:top w:w="75" w:type="dxa"/>
              <w:start w:w="95" w:type="dxa"/>
              <w:bottom w:w="75" w:type="dxa"/>
              <w:end w:w="95" w:type="dxa"/>
            </w:tcMar>
          </w:tcPr>
          <w:p>
            <w:pPr>
              <w:jc w:val="left"/>
            </w:pPr>
            <w:r>
              <w:rPr>
                <w:sz w:val="18"/>
              </w:rPr>
              <w:t>/</w:t>
            </w:r>
          </w:p>
        </w:tc>
        <w:tc>
          <w:tcPr>
            <w:tcW w:type="dxa" w:w="1134"/>
            <w:vAlign w:val="center"/>
            <w:tcMar>
              <w:top w:w="75" w:type="dxa"/>
              <w:start w:w="95" w:type="dxa"/>
              <w:bottom w:w="75" w:type="dxa"/>
              <w:end w:w="95" w:type="dxa"/>
            </w:tcMar>
          </w:tcPr>
          <w:p>
            <w:pPr>
              <w:jc w:val="center"/>
            </w:pPr>
            <w:r>
              <w:rPr>
                <w:sz w:val="18"/>
              </w:rPr>
              <w:t>GET</w:t>
            </w:r>
          </w:p>
        </w:tc>
        <w:tc>
          <w:tcPr>
            <w:tcW w:type="dxa" w:w="5216"/>
            <w:vAlign w:val="center"/>
            <w:tcMar>
              <w:top w:w="75" w:type="dxa"/>
              <w:start w:w="95" w:type="dxa"/>
              <w:bottom w:w="75" w:type="dxa"/>
              <w:end w:w="95" w:type="dxa"/>
            </w:tcMar>
          </w:tcPr>
          <w:p>
            <w:pPr>
              <w:jc w:val="left"/>
            </w:pPr>
            <w:r>
              <w:rPr>
                <w:sz w:val="18"/>
              </w:rPr>
              <w:t>Message d’accueil.</w:t>
            </w:r>
          </w:p>
        </w:tc>
      </w:tr>
      <w:tr>
        <w:tc>
          <w:tcPr>
            <w:tcW w:type="dxa" w:w="1701"/>
            <w:vAlign w:val="center"/>
            <w:tcMar>
              <w:top w:w="75" w:type="dxa"/>
              <w:start w:w="95" w:type="dxa"/>
              <w:bottom w:w="75" w:type="dxa"/>
              <w:end w:w="95" w:type="dxa"/>
            </w:tcMar>
          </w:tcPr>
          <w:p>
            <w:pPr>
              <w:jc w:val="left"/>
            </w:pPr>
            <w:r>
              <w:rPr>
                <w:sz w:val="18"/>
              </w:rPr>
              <w:t>/health</w:t>
            </w:r>
          </w:p>
        </w:tc>
        <w:tc>
          <w:tcPr>
            <w:tcW w:type="dxa" w:w="1134"/>
            <w:vAlign w:val="center"/>
            <w:tcMar>
              <w:top w:w="75" w:type="dxa"/>
              <w:start w:w="95" w:type="dxa"/>
              <w:bottom w:w="75" w:type="dxa"/>
              <w:end w:w="95" w:type="dxa"/>
            </w:tcMar>
          </w:tcPr>
          <w:p>
            <w:pPr>
              <w:jc w:val="center"/>
            </w:pPr>
            <w:r>
              <w:rPr>
                <w:sz w:val="18"/>
              </w:rPr>
              <w:t>GET</w:t>
            </w:r>
          </w:p>
        </w:tc>
        <w:tc>
          <w:tcPr>
            <w:tcW w:type="dxa" w:w="5216"/>
            <w:vAlign w:val="center"/>
            <w:tcMar>
              <w:top w:w="75" w:type="dxa"/>
              <w:start w:w="95" w:type="dxa"/>
              <w:bottom w:w="75" w:type="dxa"/>
              <w:end w:w="95" w:type="dxa"/>
            </w:tcMar>
          </w:tcPr>
          <w:p>
            <w:pPr>
              <w:jc w:val="left"/>
            </w:pPr>
            <w:r>
              <w:rPr>
                <w:sz w:val="18"/>
              </w:rPr>
              <w:t>Vérification du chargement du modèle.</w:t>
            </w:r>
          </w:p>
        </w:tc>
      </w:tr>
      <w:tr>
        <w:tc>
          <w:tcPr>
            <w:tcW w:type="dxa" w:w="1701"/>
            <w:vAlign w:val="center"/>
            <w:tcMar>
              <w:top w:w="75" w:type="dxa"/>
              <w:start w:w="95" w:type="dxa"/>
              <w:bottom w:w="75" w:type="dxa"/>
              <w:end w:w="95" w:type="dxa"/>
            </w:tcMar>
          </w:tcPr>
          <w:p>
            <w:pPr>
              <w:jc w:val="left"/>
            </w:pPr>
            <w:r>
              <w:rPr>
                <w:sz w:val="18"/>
              </w:rPr>
              <w:t>/model-info</w:t>
            </w:r>
          </w:p>
        </w:tc>
        <w:tc>
          <w:tcPr>
            <w:tcW w:type="dxa" w:w="1134"/>
            <w:vAlign w:val="center"/>
            <w:tcMar>
              <w:top w:w="75" w:type="dxa"/>
              <w:start w:w="95" w:type="dxa"/>
              <w:bottom w:w="75" w:type="dxa"/>
              <w:end w:w="95" w:type="dxa"/>
            </w:tcMar>
          </w:tcPr>
          <w:p>
            <w:pPr>
              <w:jc w:val="center"/>
            </w:pPr>
            <w:r>
              <w:rPr>
                <w:sz w:val="18"/>
              </w:rPr>
              <w:t>GET</w:t>
            </w:r>
          </w:p>
        </w:tc>
        <w:tc>
          <w:tcPr>
            <w:tcW w:type="dxa" w:w="5216"/>
            <w:vAlign w:val="center"/>
            <w:tcMar>
              <w:top w:w="75" w:type="dxa"/>
              <w:start w:w="95" w:type="dxa"/>
              <w:bottom w:w="75" w:type="dxa"/>
              <w:end w:w="95" w:type="dxa"/>
            </w:tcMar>
          </w:tcPr>
          <w:p>
            <w:pPr>
              <w:jc w:val="left"/>
            </w:pPr>
            <w:r>
              <w:rPr>
                <w:sz w:val="18"/>
              </w:rPr>
              <w:t>Nom du modèle, seuil et features attendues.</w:t>
            </w:r>
          </w:p>
        </w:tc>
      </w:tr>
      <w:tr>
        <w:tc>
          <w:tcPr>
            <w:tcW w:type="dxa" w:w="1701"/>
            <w:vAlign w:val="center"/>
            <w:tcMar>
              <w:top w:w="75" w:type="dxa"/>
              <w:start w:w="95" w:type="dxa"/>
              <w:bottom w:w="75" w:type="dxa"/>
              <w:end w:w="95" w:type="dxa"/>
            </w:tcMar>
          </w:tcPr>
          <w:p>
            <w:pPr>
              <w:jc w:val="left"/>
            </w:pPr>
            <w:r>
              <w:rPr>
                <w:sz w:val="18"/>
              </w:rPr>
              <w:t>/predict</w:t>
            </w:r>
          </w:p>
        </w:tc>
        <w:tc>
          <w:tcPr>
            <w:tcW w:type="dxa" w:w="1134"/>
            <w:vAlign w:val="center"/>
            <w:tcMar>
              <w:top w:w="75" w:type="dxa"/>
              <w:start w:w="95" w:type="dxa"/>
              <w:bottom w:w="75" w:type="dxa"/>
              <w:end w:w="95" w:type="dxa"/>
            </w:tcMar>
          </w:tcPr>
          <w:p>
            <w:pPr>
              <w:jc w:val="center"/>
            </w:pPr>
            <w:r>
              <w:rPr>
                <w:sz w:val="18"/>
              </w:rPr>
              <w:t>POST</w:t>
            </w:r>
          </w:p>
        </w:tc>
        <w:tc>
          <w:tcPr>
            <w:tcW w:type="dxa" w:w="5216"/>
            <w:vAlign w:val="center"/>
            <w:tcMar>
              <w:top w:w="75" w:type="dxa"/>
              <w:start w:w="95" w:type="dxa"/>
              <w:bottom w:w="75" w:type="dxa"/>
              <w:end w:w="95" w:type="dxa"/>
            </w:tcMar>
          </w:tcPr>
          <w:p>
            <w:pPr>
              <w:jc w:val="left"/>
            </w:pPr>
            <w:r>
              <w:rPr>
                <w:sz w:val="18"/>
              </w:rPr>
              <w:t>Probabilité de churn et décision binaire.</w:t>
            </w:r>
          </w:p>
        </w:tc>
      </w:tr>
    </w:tbl>
    <w:p>
      <w:r>
        <w:t>Le schéma d’entrée s’appuie sur Pydantic. Les types et bornes sont contrôlés dans `CustomerData` pour limiter les erreurs de saisie.</w:t>
      </w:r>
    </w:p>
    <w:p>
      <w:pPr>
        <w:pStyle w:val="Heading1"/>
      </w:pPr>
      <w:r>
        <w:t>7. Dashboard Streamlit</w:t>
      </w:r>
    </w:p>
    <w:p>
      <w:pPr>
        <w:pStyle w:val="ListBullet"/>
      </w:pPr>
      <w:r>
        <w:t>Onglet 1 : simulation d’un client et appel de l’API.</w:t>
      </w:r>
    </w:p>
    <w:p>
      <w:pPr>
        <w:pStyle w:val="ListBullet"/>
      </w:pPr>
      <w:r>
        <w:t>Onglet 2 : comparaison des modèles à partir de `model_metrics.csv`.</w:t>
      </w:r>
    </w:p>
    <w:p>
      <w:pPr>
        <w:pStyle w:val="ListBullet"/>
      </w:pPr>
      <w:r>
        <w:t>Onglet 3 : variables importantes si `feature_importance.csv` est disponible.</w:t>
      </w:r>
    </w:p>
    <w:p>
      <w:r>
        <w:t>Le dashboard a été conçu pour rester léger : il sert surtout à la démonstration et à la mise en valeur du pipeline de prédiction.</w:t>
      </w:r>
    </w:p>
    <w:p>
      <w:pPr>
        <w:pStyle w:val="Heading1"/>
      </w:pPr>
      <w:r>
        <w:t>8. Commandes d’exécution</w:t>
      </w:r>
    </w:p>
    <w:p>
      <w:pPr>
        <w:pStyle w:val="ListBullet"/>
      </w:pPr>
      <w:r>
        <w:t>Installer les dépendances : `pip install pandas numpy scikit-learn joblib mlflow fastapi uvicorn streamlit requests plotly matplotlib seaborn jupyter notebook`</w:t>
      </w:r>
    </w:p>
    <w:p>
      <w:pPr>
        <w:pStyle w:val="ListBullet"/>
      </w:pPr>
      <w:r>
        <w:t>Entraîner le modèle : `python train.py`</w:t>
      </w:r>
    </w:p>
    <w:p>
      <w:pPr>
        <w:pStyle w:val="ListBullet"/>
      </w:pPr>
      <w:r>
        <w:t>Lancer l’API : `uvicorn api:app --reload`</w:t>
      </w:r>
    </w:p>
    <w:p>
      <w:pPr>
        <w:pStyle w:val="ListBullet"/>
      </w:pPr>
      <w:r>
        <w:t>Lancer le dashboard : `python -m streamlit run app.py`</w:t>
      </w:r>
    </w:p>
    <w:p>
      <w:r>
        <w:t>Le plus simple est d’ouvrir un terminal dans le dossier `Code/` avant d’exécuter ces commandes.</w:t>
      </w:r>
    </w:p>
    <w:p>
      <w:pPr>
        <w:pStyle w:val="Heading1"/>
      </w:pPr>
      <w:r>
        <w:t>9. Fichiers générés et usage</w:t>
      </w:r>
    </w:p>
    <w:tbl>
      <w:tblPr>
        <w:tblStyle w:val="TableGrid"/>
        <w:tblW w:type="auto" w:w="0"/>
        <w:jc w:val="center"/>
        <w:tblLayout w:type="fixed"/>
        <w:tblLook w:firstColumn="1" w:firstRow="1" w:lastColumn="0" w:lastRow="0" w:noHBand="0" w:noVBand="1" w:val="04A0"/>
      </w:tblPr>
      <w:tblGrid>
        <w:gridCol w:w="4873"/>
        <w:gridCol w:w="4873"/>
      </w:tblGrid>
      <w:tr>
        <w:tc>
          <w:tcPr>
            <w:tcW w:type="dxa" w:w="2835"/>
            <w:vAlign w:val="center"/>
            <w:shd w:fill="DCE6F1"/>
            <w:tcMar>
              <w:top w:w="75" w:type="dxa"/>
              <w:start w:w="95" w:type="dxa"/>
              <w:bottom w:w="75" w:type="dxa"/>
              <w:end w:w="95" w:type="dxa"/>
            </w:tcMar>
          </w:tcPr>
          <w:p>
            <w:pPr>
              <w:jc w:val="center"/>
            </w:pPr>
            <w:r>
              <w:rPr>
                <w:b/>
                <w:sz w:val="17"/>
              </w:rPr>
              <w:t>Fichier</w:t>
            </w:r>
          </w:p>
        </w:tc>
        <w:tc>
          <w:tcPr>
            <w:tcW w:type="dxa" w:w="5669"/>
            <w:vAlign w:val="center"/>
            <w:shd w:fill="DCE6F1"/>
            <w:tcMar>
              <w:top w:w="75" w:type="dxa"/>
              <w:start w:w="95" w:type="dxa"/>
              <w:bottom w:w="75" w:type="dxa"/>
              <w:end w:w="95" w:type="dxa"/>
            </w:tcMar>
          </w:tcPr>
          <w:p>
            <w:pPr>
              <w:jc w:val="center"/>
            </w:pPr>
            <w:r>
              <w:rPr>
                <w:b/>
                <w:sz w:val="17"/>
              </w:rPr>
              <w:t>Contenu / usage</w:t>
            </w:r>
          </w:p>
        </w:tc>
      </w:tr>
      <w:tr>
        <w:tc>
          <w:tcPr>
            <w:tcW w:type="dxa" w:w="2835"/>
            <w:vAlign w:val="center"/>
            <w:tcMar>
              <w:top w:w="75" w:type="dxa"/>
              <w:start w:w="95" w:type="dxa"/>
              <w:bottom w:w="75" w:type="dxa"/>
              <w:end w:w="95" w:type="dxa"/>
            </w:tcMar>
          </w:tcPr>
          <w:p>
            <w:pPr>
              <w:jc w:val="left"/>
            </w:pPr>
            <w:r>
              <w:rPr>
                <w:sz w:val="18"/>
              </w:rPr>
              <w:t>best_model.joblib</w:t>
            </w:r>
          </w:p>
        </w:tc>
        <w:tc>
          <w:tcPr>
            <w:tcW w:type="dxa" w:w="5669"/>
            <w:vAlign w:val="center"/>
            <w:tcMar>
              <w:top w:w="75" w:type="dxa"/>
              <w:start w:w="95" w:type="dxa"/>
              <w:bottom w:w="75" w:type="dxa"/>
              <w:end w:w="95" w:type="dxa"/>
            </w:tcMar>
          </w:tcPr>
          <w:p>
            <w:pPr>
              <w:jc w:val="left"/>
            </w:pPr>
            <w:r>
              <w:rPr>
                <w:sz w:val="18"/>
              </w:rPr>
              <w:t>Sauvegarde locale du meilleur pipeline.</w:t>
            </w:r>
          </w:p>
        </w:tc>
      </w:tr>
      <w:tr>
        <w:tc>
          <w:tcPr>
            <w:tcW w:type="dxa" w:w="2835"/>
            <w:vAlign w:val="center"/>
            <w:tcMar>
              <w:top w:w="75" w:type="dxa"/>
              <w:start w:w="95" w:type="dxa"/>
              <w:bottom w:w="75" w:type="dxa"/>
              <w:end w:w="95" w:type="dxa"/>
            </w:tcMar>
          </w:tcPr>
          <w:p>
            <w:pPr>
              <w:jc w:val="left"/>
            </w:pPr>
            <w:r>
              <w:rPr>
                <w:sz w:val="18"/>
              </w:rPr>
              <w:t>model_config.json</w:t>
            </w:r>
          </w:p>
        </w:tc>
        <w:tc>
          <w:tcPr>
            <w:tcW w:type="dxa" w:w="5669"/>
            <w:vAlign w:val="center"/>
            <w:tcMar>
              <w:top w:w="75" w:type="dxa"/>
              <w:start w:w="95" w:type="dxa"/>
              <w:bottom w:w="75" w:type="dxa"/>
              <w:end w:w="95" w:type="dxa"/>
            </w:tcMar>
          </w:tcPr>
          <w:p>
            <w:pPr>
              <w:jc w:val="left"/>
            </w:pPr>
            <w:r>
              <w:rPr>
                <w:sz w:val="18"/>
              </w:rPr>
              <w:t>Nom du modèle, seuil et liste de features.</w:t>
            </w:r>
          </w:p>
        </w:tc>
      </w:tr>
      <w:tr>
        <w:tc>
          <w:tcPr>
            <w:tcW w:type="dxa" w:w="2835"/>
            <w:vAlign w:val="center"/>
            <w:tcMar>
              <w:top w:w="75" w:type="dxa"/>
              <w:start w:w="95" w:type="dxa"/>
              <w:bottom w:w="75" w:type="dxa"/>
              <w:end w:w="95" w:type="dxa"/>
            </w:tcMar>
          </w:tcPr>
          <w:p>
            <w:pPr>
              <w:jc w:val="left"/>
            </w:pPr>
            <w:r>
              <w:rPr>
                <w:sz w:val="18"/>
              </w:rPr>
              <w:t>model_metrics.csv</w:t>
            </w:r>
          </w:p>
        </w:tc>
        <w:tc>
          <w:tcPr>
            <w:tcW w:type="dxa" w:w="5669"/>
            <w:vAlign w:val="center"/>
            <w:tcMar>
              <w:top w:w="75" w:type="dxa"/>
              <w:start w:w="95" w:type="dxa"/>
              <w:bottom w:w="75" w:type="dxa"/>
              <w:end w:w="95" w:type="dxa"/>
            </w:tcMar>
          </w:tcPr>
          <w:p>
            <w:pPr>
              <w:jc w:val="left"/>
            </w:pPr>
            <w:r>
              <w:rPr>
                <w:sz w:val="18"/>
              </w:rPr>
              <w:t>Comparaison des scores des quatre modèles.</w:t>
            </w:r>
          </w:p>
        </w:tc>
      </w:tr>
      <w:tr>
        <w:tc>
          <w:tcPr>
            <w:tcW w:type="dxa" w:w="2835"/>
            <w:vAlign w:val="center"/>
            <w:tcMar>
              <w:top w:w="75" w:type="dxa"/>
              <w:start w:w="95" w:type="dxa"/>
              <w:bottom w:w="75" w:type="dxa"/>
              <w:end w:w="95" w:type="dxa"/>
            </w:tcMar>
          </w:tcPr>
          <w:p>
            <w:pPr>
              <w:jc w:val="left"/>
            </w:pPr>
            <w:r>
              <w:rPr>
                <w:sz w:val="18"/>
              </w:rPr>
              <w:t>test_predictions.csv</w:t>
            </w:r>
          </w:p>
        </w:tc>
        <w:tc>
          <w:tcPr>
            <w:tcW w:type="dxa" w:w="5669"/>
            <w:vAlign w:val="center"/>
            <w:tcMar>
              <w:top w:w="75" w:type="dxa"/>
              <w:start w:w="95" w:type="dxa"/>
              <w:bottom w:w="75" w:type="dxa"/>
              <w:end w:w="95" w:type="dxa"/>
            </w:tcMar>
          </w:tcPr>
          <w:p>
            <w:pPr>
              <w:jc w:val="left"/>
            </w:pPr>
            <w:r>
              <w:rPr>
                <w:sz w:val="18"/>
              </w:rPr>
              <w:t>Prédictions du modèle final sur le jeu de test.</w:t>
            </w:r>
          </w:p>
        </w:tc>
      </w:tr>
      <w:tr>
        <w:tc>
          <w:tcPr>
            <w:tcW w:type="dxa" w:w="2835"/>
            <w:vAlign w:val="center"/>
            <w:tcMar>
              <w:top w:w="75" w:type="dxa"/>
              <w:start w:w="95" w:type="dxa"/>
              <w:bottom w:w="75" w:type="dxa"/>
              <w:end w:w="95" w:type="dxa"/>
            </w:tcMar>
          </w:tcPr>
          <w:p>
            <w:pPr>
              <w:jc w:val="left"/>
            </w:pPr>
            <w:r>
              <w:rPr>
                <w:sz w:val="18"/>
              </w:rPr>
              <w:t>feature_importance.csv</w:t>
            </w:r>
          </w:p>
        </w:tc>
        <w:tc>
          <w:tcPr>
            <w:tcW w:type="dxa" w:w="5669"/>
            <w:vAlign w:val="center"/>
            <w:tcMar>
              <w:top w:w="75" w:type="dxa"/>
              <w:start w:w="95" w:type="dxa"/>
              <w:bottom w:w="75" w:type="dxa"/>
              <w:end w:w="95" w:type="dxa"/>
            </w:tcMar>
          </w:tcPr>
          <w:p>
            <w:pPr>
              <w:jc w:val="left"/>
            </w:pPr>
            <w:r>
              <w:rPr>
                <w:sz w:val="18"/>
              </w:rPr>
              <w:t>Importance des variables si le script l’exporte.</w:t>
            </w:r>
          </w:p>
        </w:tc>
      </w:tr>
    </w:tbl>
    <w:p>
      <w:r>
        <w:br w:type="page"/>
      </w:r>
    </w:p>
    <w:p>
      <w:pPr>
        <w:pStyle w:val="Heading1"/>
      </w:pPr>
      <w:r>
        <w:t>10. Vérifications avant rendu ou soutenance</w:t>
      </w:r>
    </w:p>
    <w:p>
      <w:pPr>
        <w:pStyle w:val="ListBullet"/>
      </w:pPr>
      <w:r>
        <w:t>Vérifier que `uvicorn api:app --reload` démarre sans erreur.</w:t>
      </w:r>
    </w:p>
    <w:p>
      <w:pPr>
        <w:pStyle w:val="ListBullet"/>
      </w:pPr>
      <w:r>
        <w:t>Vérifier que `python -m streamlit run app.py` ouvre bien le dashboard.</w:t>
      </w:r>
    </w:p>
    <w:p>
      <w:pPr>
        <w:pStyle w:val="ListBullet"/>
      </w:pPr>
      <w:r>
        <w:t>Contrôler que `/health` retourne un statut OK.</w:t>
      </w:r>
    </w:p>
    <w:p>
      <w:pPr>
        <w:pStyle w:val="ListBullet"/>
      </w:pPr>
      <w:r>
        <w:t>Contrôler qu’un appel `/predict` avec un exemple valide retourne une probabilité et une classe.</w:t>
      </w:r>
    </w:p>
    <w:p>
      <w:pPr>
        <w:pStyle w:val="ListBullet"/>
      </w:pPr>
      <w:r>
        <w:t>Relancer `train.py` si les artefacts ne sont pas à jour.</w:t>
      </w:r>
    </w:p>
    <w:p>
      <w:pPr>
        <w:pStyle w:val="ListBullet"/>
      </w:pPr>
      <w:r>
        <w:t>S’assurer que le README, le rapport et l’annexe sont cohérents avec les noms de fichiers réellement présents.</w:t>
      </w:r>
    </w:p>
    <w:p>
      <w:pPr>
        <w:pStyle w:val="Heading1"/>
      </w:pPr>
      <w:r>
        <w:t>11. Points d’attention et améliorations</w:t>
      </w:r>
    </w:p>
    <w:p>
      <w:pPr>
        <w:pStyle w:val="ListBullet"/>
      </w:pPr>
      <w:r>
        <w:t>Aligner strictement les plages de saisie de l’API et du dashboard avec les plages observées dans le dataset source.</w:t>
      </w:r>
    </w:p>
    <w:p>
      <w:pPr>
        <w:pStyle w:val="ListBullet"/>
      </w:pPr>
      <w:r>
        <w:t>Exporter automatiquement `feature_importance.csv` depuis `train.py` pour activer pleinement le troisième onglet du dashboard.</w:t>
      </w:r>
    </w:p>
    <w:p>
      <w:pPr>
        <w:pStyle w:val="ListBullet"/>
      </w:pPr>
      <w:r>
        <w:t>Ajouter un `requirements.txt` propre si le projet doit être reproduit sur une autre machine.</w:t>
      </w:r>
    </w:p>
    <w:p>
      <w:pPr>
        <w:pStyle w:val="ListBullet"/>
      </w:pPr>
      <w:r>
        <w:t>Nettoyer le zip final en retirant `.git`, `__pycache__` et `.ipynb_checkpoints`.</w:t>
      </w:r>
    </w:p>
    <w:p>
      <w:r>
        <w:t>Cette annexe peut servir de base à une documentation de maintenance plus complète si le projet doit évoluer après la soutenance.</w:t>
      </w:r>
    </w:p>
    <w:sectPr w:rsidR="00FC693F" w:rsidRPr="0006063C" w:rsidSect="00034616">
      <w:footerReference w:type="default" r:id="rId9"/>
      <w:pgSz w:w="12240" w:h="15840"/>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7"/>
      </w:rPr>
      <w:t>Annexe technique — projet churn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ptos" w:hAnsi="Aptos" w:eastAsia="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60"/>
      <w:outlineLvl w:val="0"/>
    </w:pPr>
    <w:rPr>
      <w:rFonts w:asciiTheme="majorHAnsi" w:eastAsiaTheme="majorEastAsia" w:hAnsiTheme="majorHAnsi" w:cstheme="majorBidi" w:ascii="Aptos" w:hAnsi="Aptos" w:eastAsia="Aptos"/>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Aptos" w:hAnsi="Aptos" w:eastAsia="Aptos"/>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ptos" w:hAnsi="Aptos" w:eastAsia="Aptos"/>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