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F4E79"/>
          <w:sz w:val="48"/>
        </w:rPr>
        <w:t>Rapport de projet</w:t>
      </w:r>
    </w:p>
    <w:p>
      <w:pPr>
        <w:jc w:val="center"/>
      </w:pPr>
      <w:r>
        <w:rPr>
          <w:i/>
          <w:color w:val="464646"/>
          <w:sz w:val="26"/>
        </w:rPr>
        <w:t>Prédiction du churn client et estimation du risque de revenus</w:t>
      </w:r>
    </w:p>
    <w:p/>
    <w:p/>
    <w:p/>
    <w:tbl>
      <w:tblPr>
        <w:tblW w:type="auto" w:w="0"/>
        <w:jc w:val="center"/>
        <w:tblLayout w:type="fixed"/>
        <w:tblLook w:firstColumn="1" w:firstRow="1" w:lastColumn="0" w:lastRow="0" w:noHBand="0" w:noVBand="1" w:val="04A0"/>
      </w:tblPr>
      <w:tblGrid>
        <w:gridCol w:w="4873"/>
        <w:gridCol w:w="4873"/>
      </w:tblGrid>
      <w:tr>
        <w:tc>
          <w:tcPr>
            <w:tcW w:type="dxa" w:w="2381"/>
            <w:vAlign w:val="center"/>
            <w:tcMar>
              <w:top w:w="90" w:type="dxa"/>
              <w:start w:w="120" w:type="dxa"/>
              <w:bottom w:w="90" w:type="dxa"/>
              <w:end w:w="120" w:type="dxa"/>
            </w:tcMar>
            <w:shd w:fill="DCE6F1"/>
          </w:tcPr>
          <w:p>
            <w:r>
              <w:t>Auteurs</w:t>
            </w:r>
          </w:p>
        </w:tc>
        <w:tc>
          <w:tcPr>
            <w:tcW w:type="dxa" w:w="4876"/>
            <w:vAlign w:val="center"/>
            <w:tcMar>
              <w:top w:w="90" w:type="dxa"/>
              <w:start w:w="120" w:type="dxa"/>
              <w:bottom w:w="90" w:type="dxa"/>
              <w:end w:w="120" w:type="dxa"/>
            </w:tcMar>
          </w:tcPr>
          <w:p>
            <w:r>
              <w:t>François Ngy et Antoine Theissen</w:t>
            </w:r>
          </w:p>
        </w:tc>
      </w:tr>
      <w:tr>
        <w:tc>
          <w:tcPr>
            <w:tcW w:type="dxa" w:w="2381"/>
            <w:vAlign w:val="center"/>
            <w:tcMar>
              <w:top w:w="90" w:type="dxa"/>
              <w:start w:w="120" w:type="dxa"/>
              <w:bottom w:w="90" w:type="dxa"/>
              <w:end w:w="120" w:type="dxa"/>
            </w:tcMar>
            <w:shd w:fill="DCE6F1"/>
          </w:tcPr>
          <w:p>
            <w:r>
              <w:t>Formation</w:t>
            </w:r>
          </w:p>
        </w:tc>
        <w:tc>
          <w:tcPr>
            <w:tcW w:type="dxa" w:w="4876"/>
            <w:vAlign w:val="center"/>
            <w:tcMar>
              <w:top w:w="90" w:type="dxa"/>
              <w:start w:w="120" w:type="dxa"/>
              <w:bottom w:w="90" w:type="dxa"/>
              <w:end w:w="120" w:type="dxa"/>
            </w:tcMar>
          </w:tcPr>
          <w:p>
            <w:r>
              <w:t>M2 DE</w:t>
            </w:r>
          </w:p>
        </w:tc>
      </w:tr>
      <w:tr>
        <w:tc>
          <w:tcPr>
            <w:tcW w:type="dxa" w:w="2381"/>
            <w:vAlign w:val="center"/>
            <w:tcMar>
              <w:top w:w="90" w:type="dxa"/>
              <w:start w:w="120" w:type="dxa"/>
              <w:bottom w:w="90" w:type="dxa"/>
              <w:end w:w="120" w:type="dxa"/>
            </w:tcMar>
            <w:shd w:fill="DCE6F1"/>
          </w:tcPr>
          <w:p>
            <w:r>
              <w:t>Projet</w:t>
            </w:r>
          </w:p>
        </w:tc>
        <w:tc>
          <w:tcPr>
            <w:tcW w:type="dxa" w:w="4876"/>
            <w:vAlign w:val="center"/>
            <w:tcMar>
              <w:top w:w="90" w:type="dxa"/>
              <w:start w:w="120" w:type="dxa"/>
              <w:bottom w:w="90" w:type="dxa"/>
              <w:end w:w="120" w:type="dxa"/>
            </w:tcMar>
          </w:tcPr>
          <w:p>
            <w:r>
              <w:t>Rétention client et évaluation du risque de revenus</w:t>
            </w:r>
          </w:p>
        </w:tc>
      </w:tr>
      <w:tr>
        <w:tc>
          <w:tcPr>
            <w:tcW w:type="dxa" w:w="2381"/>
            <w:vAlign w:val="center"/>
            <w:tcMar>
              <w:top w:w="90" w:type="dxa"/>
              <w:start w:w="120" w:type="dxa"/>
              <w:bottom w:w="90" w:type="dxa"/>
              <w:end w:w="120" w:type="dxa"/>
            </w:tcMar>
            <w:shd w:fill="DCE6F1"/>
          </w:tcPr>
          <w:p>
            <w:r>
              <w:t>Date</w:t>
            </w:r>
          </w:p>
        </w:tc>
        <w:tc>
          <w:tcPr>
            <w:tcW w:type="dxa" w:w="4876"/>
            <w:vAlign w:val="center"/>
            <w:tcMar>
              <w:top w:w="90" w:type="dxa"/>
              <w:start w:w="120" w:type="dxa"/>
              <w:bottom w:w="90" w:type="dxa"/>
              <w:end w:w="120" w:type="dxa"/>
            </w:tcMar>
          </w:tcPr>
          <w:p>
            <w:r>
              <w:t>Mars 2026</w:t>
            </w:r>
          </w:p>
        </w:tc>
      </w:tr>
    </w:tbl>
    <w:p/>
    <w:p>
      <w:pPr>
        <w:jc w:val="center"/>
      </w:pPr>
      <w:r>
        <w:rPr>
          <w:sz w:val="21"/>
        </w:rPr>
        <w:t>Ce document présente une synthèse claire du projet, des choix méthodologiques, des résultats obtenus et des éléments techniques utiles à la prise en main.</w:t>
      </w:r>
    </w:p>
    <w:p>
      <w:r>
        <w:br w:type="page"/>
      </w:r>
    </w:p>
    <w:p>
      <w:pPr>
        <w:pStyle w:val="Heading1"/>
      </w:pPr>
      <w:r>
        <w:t>1. Résumé du projet</w:t>
      </w:r>
    </w:p>
    <w:p>
      <w:r>
        <w:t>Ce projet porte sur la prédiction du churn client, c’est-à-dire la probabilité qu’un client quitte le service. L’objectif est de proposer une chaîne de travail complète, depuis l’analyse exploratoire jusqu’au déploiement d’un modèle exploitable dans une API et un dashboard.</w:t>
      </w:r>
    </w:p>
    <w:p>
      <w:r>
        <w:t>Le travail réalisé comprend quatre familles de modèles, une validation croisée stratifiée, une optimisation du seuil de décision, un suivi des expériences avec MLflow, une API FastAPI et un dashboard Streamlit.</w:t>
      </w:r>
    </w:p>
    <w:p>
      <w:r>
        <w:t>Le modèle final retenu est un Random Forest. Il a été sélectionné en priorité selon la PR-AUC moyenne en validation croisée, complétée par le recall et le ROC-AUC. Cette logique est plus robuste qu’une sélection reposant uniquement sur le score du jeu de test.</w:t>
      </w:r>
    </w:p>
    <w:p>
      <w:pPr>
        <w:pStyle w:val="Heading1"/>
      </w:pPr>
      <w:r>
        <w:t>2. Problématique et données</w:t>
      </w:r>
    </w:p>
    <w:p>
      <w:r>
        <w:t>Le dataset contient 10 000 observations et 32 variables. La cible `churn` représente 10,21 % des clients, ce qui confirme un problème de classification déséquilibré. Une attention particulière a donc été portée aux métriques orientées classe minoritaire.</w:t>
      </w:r>
    </w:p>
    <w:p>
      <w:pPr>
        <w:pStyle w:val="ListBullet"/>
      </w:pPr>
      <w:r>
        <w:t>Problématique métier : repérer les clients à risque pour cibler des actions de rétention.</w:t>
      </w:r>
    </w:p>
    <w:p>
      <w:pPr>
        <w:pStyle w:val="ListBullet"/>
      </w:pPr>
      <w:r>
        <w:t>Sortie du modèle : probabilité de churn et décision binaire selon un seuil optimisé.</w:t>
      </w:r>
    </w:p>
    <w:p>
      <w:pPr>
        <w:pStyle w:val="ListBullet"/>
      </w:pPr>
      <w:r>
        <w:t>Variables retenues dans le pipeline final : gender, age, tenure_months, contract_type, monthly_logins, weekly_active_days, avg_session_time, monthly_fee, payment_failures, nps_score.</w:t>
      </w:r>
    </w:p>
    <w:p>
      <w:pPr>
        <w:pStyle w:val="Heading1"/>
      </w:pPr>
      <w:r>
        <w:t>3. Démarche méthodologique</w:t>
      </w:r>
    </w:p>
    <w:p>
      <w:r>
        <w:t>Le pipeline de prétraitement gère séparément les variables numériques et catégorielles. Les variables numériques sont imputées par la médiane puis standardisées. Les variables catégorielles sont imputées par la modalité la plus fréquente puis encodées en one-hot.</w:t>
      </w:r>
    </w:p>
    <w:p>
      <w:r>
        <w:t>La séparation des données est réalisée en 80 % entraînement et 20 % test, avec stratification sur la variable cible. Une validation croisée stratifiée à 5 folds est ensuite utilisée pour comparer les modèles de façon plus stable qu’un simple split unique.</w:t>
      </w:r>
    </w:p>
    <w:p>
      <w:r>
        <w:t>Le seuil de classification n’est pas fixé à 0,5 par défaut. Il est optimisé sur les probabilités issues de la validation croisée en maximisant le F2-score, afin de donner plus de poids au recall. Dans un contexte de churn, cette stratégie permet de limiter le nombre de clients à risque non détectés.</w:t>
      </w:r>
    </w:p>
    <w:p>
      <w:pPr>
        <w:pStyle w:val="ListBullet"/>
      </w:pPr>
      <w:r>
        <w:t>Modèles comparés : Logistic Regression, Random Forest, Gradient Boosting, MLPClassifier.</w:t>
      </w:r>
    </w:p>
    <w:p>
      <w:pPr>
        <w:pStyle w:val="ListBullet"/>
      </w:pPr>
      <w:r>
        <w:t>Métriques retenues : ROC-AUC, PR-AUC, precision, recall et F1-score.</w:t>
      </w:r>
    </w:p>
    <w:p>
      <w:pPr>
        <w:pStyle w:val="ListBullet"/>
      </w:pPr>
      <w:r>
        <w:t>Suivi des expériences : runs MLflow + enregistrement du meilleur modèle avec l’alias `production`.</w:t>
      </w:r>
    </w:p>
    <w:p>
      <w:pPr>
        <w:pStyle w:val="Heading1"/>
      </w:pPr>
      <w:r>
        <w:t>4. Résultats obtenus</w:t>
      </w:r>
    </w:p>
    <w:p>
      <w:r>
        <w:t>Le tableau ci-dessous synthétise les résultats principaux issus du fichier `model_metrics.csv` généré par le script d’entraînement.</w:t>
      </w:r>
    </w:p>
    <w:tbl>
      <w:tblPr>
        <w:tblStyle w:val="TableGrid"/>
        <w:tblW w:type="auto" w:w="0"/>
        <w:jc w:val="center"/>
        <w:tblLayout w:type="fixed"/>
        <w:tblLook w:firstColumn="1" w:firstRow="1" w:lastColumn="0" w:lastRow="0" w:noHBand="0" w:noVBand="1" w:val="04A0"/>
      </w:tblPr>
      <w:tblGrid>
        <w:gridCol w:w="1392"/>
        <w:gridCol w:w="1392"/>
        <w:gridCol w:w="1392"/>
        <w:gridCol w:w="1392"/>
        <w:gridCol w:w="1392"/>
        <w:gridCol w:w="1392"/>
        <w:gridCol w:w="1392"/>
      </w:tblGrid>
      <w:tr>
        <w:tc>
          <w:tcPr>
            <w:tcW w:type="dxa" w:w="2268"/>
            <w:vAlign w:val="center"/>
            <w:shd w:fill="1F4E79"/>
            <w:tcMar>
              <w:top w:w="80" w:type="dxa"/>
              <w:start w:w="100" w:type="dxa"/>
              <w:bottom w:w="80" w:type="dxa"/>
              <w:end w:w="100" w:type="dxa"/>
            </w:tcMar>
          </w:tcPr>
          <w:p>
            <w:pPr>
              <w:jc w:val="center"/>
            </w:pPr>
            <w:r>
              <w:rPr>
                <w:b/>
                <w:color w:val="FFFFFF"/>
                <w:sz w:val="18"/>
              </w:rPr>
              <w:t>Modèle</w:t>
            </w:r>
          </w:p>
        </w:tc>
        <w:tc>
          <w:tcPr>
            <w:tcW w:type="dxa" w:w="1191"/>
            <w:vAlign w:val="center"/>
            <w:shd w:fill="1F4E79"/>
            <w:tcMar>
              <w:top w:w="80" w:type="dxa"/>
              <w:start w:w="100" w:type="dxa"/>
              <w:bottom w:w="80" w:type="dxa"/>
              <w:end w:w="100" w:type="dxa"/>
            </w:tcMar>
          </w:tcPr>
          <w:p>
            <w:pPr>
              <w:jc w:val="center"/>
            </w:pPr>
            <w:r>
              <w:rPr>
                <w:b/>
                <w:color w:val="FFFFFF"/>
                <w:sz w:val="18"/>
              </w:rPr>
              <w:t>CV PR-AUC</w:t>
            </w:r>
          </w:p>
        </w:tc>
        <w:tc>
          <w:tcPr>
            <w:tcW w:type="dxa" w:w="1134"/>
            <w:vAlign w:val="center"/>
            <w:shd w:fill="1F4E79"/>
            <w:tcMar>
              <w:top w:w="80" w:type="dxa"/>
              <w:start w:w="100" w:type="dxa"/>
              <w:bottom w:w="80" w:type="dxa"/>
              <w:end w:w="100" w:type="dxa"/>
            </w:tcMar>
          </w:tcPr>
          <w:p>
            <w:pPr>
              <w:jc w:val="center"/>
            </w:pPr>
            <w:r>
              <w:rPr>
                <w:b/>
                <w:color w:val="FFFFFF"/>
                <w:sz w:val="18"/>
              </w:rPr>
              <w:t>CV Recall</w:t>
            </w:r>
          </w:p>
        </w:tc>
        <w:tc>
          <w:tcPr>
            <w:tcW w:type="dxa" w:w="1304"/>
            <w:vAlign w:val="center"/>
            <w:shd w:fill="1F4E79"/>
            <w:tcMar>
              <w:top w:w="80" w:type="dxa"/>
              <w:start w:w="100" w:type="dxa"/>
              <w:bottom w:w="80" w:type="dxa"/>
              <w:end w:w="100" w:type="dxa"/>
            </w:tcMar>
          </w:tcPr>
          <w:p>
            <w:pPr>
              <w:jc w:val="center"/>
            </w:pPr>
            <w:r>
              <w:rPr>
                <w:b/>
                <w:color w:val="FFFFFF"/>
                <w:sz w:val="18"/>
              </w:rPr>
              <w:t>Test ROC-AUC</w:t>
            </w:r>
          </w:p>
        </w:tc>
        <w:tc>
          <w:tcPr>
            <w:tcW w:type="dxa" w:w="1247"/>
            <w:vAlign w:val="center"/>
            <w:shd w:fill="1F4E79"/>
            <w:tcMar>
              <w:top w:w="80" w:type="dxa"/>
              <w:start w:w="100" w:type="dxa"/>
              <w:bottom w:w="80" w:type="dxa"/>
              <w:end w:w="100" w:type="dxa"/>
            </w:tcMar>
          </w:tcPr>
          <w:p>
            <w:pPr>
              <w:jc w:val="center"/>
            </w:pPr>
            <w:r>
              <w:rPr>
                <w:b/>
                <w:color w:val="FFFFFF"/>
                <w:sz w:val="18"/>
              </w:rPr>
              <w:t>Test PR-AUC</w:t>
            </w:r>
          </w:p>
        </w:tc>
        <w:tc>
          <w:tcPr>
            <w:tcW w:type="dxa" w:w="1020"/>
            <w:vAlign w:val="center"/>
            <w:shd w:fill="1F4E79"/>
            <w:tcMar>
              <w:top w:w="80" w:type="dxa"/>
              <w:start w:w="100" w:type="dxa"/>
              <w:bottom w:w="80" w:type="dxa"/>
              <w:end w:w="100" w:type="dxa"/>
            </w:tcMar>
          </w:tcPr>
          <w:p>
            <w:pPr>
              <w:jc w:val="center"/>
            </w:pPr>
            <w:r>
              <w:rPr>
                <w:b/>
                <w:color w:val="FFFFFF"/>
                <w:sz w:val="18"/>
              </w:rPr>
              <w:t>Test F1</w:t>
            </w:r>
          </w:p>
        </w:tc>
        <w:tc>
          <w:tcPr>
            <w:tcW w:type="dxa" w:w="850"/>
            <w:vAlign w:val="center"/>
            <w:shd w:fill="1F4E79"/>
            <w:tcMar>
              <w:top w:w="80" w:type="dxa"/>
              <w:start w:w="100" w:type="dxa"/>
              <w:bottom w:w="80" w:type="dxa"/>
              <w:end w:w="100" w:type="dxa"/>
            </w:tcMar>
          </w:tcPr>
          <w:p>
            <w:pPr>
              <w:jc w:val="center"/>
            </w:pPr>
            <w:r>
              <w:rPr>
                <w:b/>
                <w:color w:val="FFFFFF"/>
                <w:sz w:val="18"/>
              </w:rPr>
              <w:t>Seuil</w:t>
            </w:r>
          </w:p>
        </w:tc>
      </w:tr>
      <w:tr>
        <w:tc>
          <w:tcPr>
            <w:tcW w:type="dxa" w:w="2268"/>
            <w:vAlign w:val="center"/>
            <w:tcMar>
              <w:top w:w="80" w:type="dxa"/>
              <w:start w:w="100" w:type="dxa"/>
              <w:bottom w:w="80" w:type="dxa"/>
              <w:end w:w="100" w:type="dxa"/>
            </w:tcMar>
          </w:tcPr>
          <w:p>
            <w:pPr>
              <w:jc w:val="left"/>
            </w:pPr>
            <w:r>
              <w:rPr>
                <w:sz w:val="19"/>
              </w:rPr>
              <w:t>Random Forest</w:t>
            </w:r>
          </w:p>
        </w:tc>
        <w:tc>
          <w:tcPr>
            <w:tcW w:type="dxa" w:w="1191"/>
            <w:vAlign w:val="center"/>
            <w:tcMar>
              <w:top w:w="80" w:type="dxa"/>
              <w:start w:w="100" w:type="dxa"/>
              <w:bottom w:w="80" w:type="dxa"/>
              <w:end w:w="100" w:type="dxa"/>
            </w:tcMar>
          </w:tcPr>
          <w:p>
            <w:pPr>
              <w:jc w:val="center"/>
            </w:pPr>
            <w:r>
              <w:rPr>
                <w:sz w:val="19"/>
              </w:rPr>
              <w:t>0.251</w:t>
            </w:r>
          </w:p>
        </w:tc>
        <w:tc>
          <w:tcPr>
            <w:tcW w:type="dxa" w:w="1134"/>
            <w:vAlign w:val="center"/>
            <w:tcMar>
              <w:top w:w="80" w:type="dxa"/>
              <w:start w:w="100" w:type="dxa"/>
              <w:bottom w:w="80" w:type="dxa"/>
              <w:end w:w="100" w:type="dxa"/>
            </w:tcMar>
          </w:tcPr>
          <w:p>
            <w:pPr>
              <w:jc w:val="center"/>
            </w:pPr>
            <w:r>
              <w:rPr>
                <w:sz w:val="19"/>
              </w:rPr>
              <w:t>0.013</w:t>
            </w:r>
          </w:p>
        </w:tc>
        <w:tc>
          <w:tcPr>
            <w:tcW w:type="dxa" w:w="1304"/>
            <w:vAlign w:val="center"/>
            <w:tcMar>
              <w:top w:w="80" w:type="dxa"/>
              <w:start w:w="100" w:type="dxa"/>
              <w:bottom w:w="80" w:type="dxa"/>
              <w:end w:w="100" w:type="dxa"/>
            </w:tcMar>
          </w:tcPr>
          <w:p>
            <w:pPr>
              <w:jc w:val="center"/>
            </w:pPr>
            <w:r>
              <w:rPr>
                <w:sz w:val="19"/>
              </w:rPr>
              <w:t>0.733</w:t>
            </w:r>
          </w:p>
        </w:tc>
        <w:tc>
          <w:tcPr>
            <w:tcW w:type="dxa" w:w="1247"/>
            <w:vAlign w:val="center"/>
            <w:tcMar>
              <w:top w:w="80" w:type="dxa"/>
              <w:start w:w="100" w:type="dxa"/>
              <w:bottom w:w="80" w:type="dxa"/>
              <w:end w:w="100" w:type="dxa"/>
            </w:tcMar>
          </w:tcPr>
          <w:p>
            <w:pPr>
              <w:jc w:val="center"/>
            </w:pPr>
            <w:r>
              <w:rPr>
                <w:sz w:val="19"/>
              </w:rPr>
              <w:t>0.249</w:t>
            </w:r>
          </w:p>
        </w:tc>
        <w:tc>
          <w:tcPr>
            <w:tcW w:type="dxa" w:w="1020"/>
            <w:vAlign w:val="center"/>
            <w:tcMar>
              <w:top w:w="80" w:type="dxa"/>
              <w:start w:w="100" w:type="dxa"/>
              <w:bottom w:w="80" w:type="dxa"/>
              <w:end w:w="100" w:type="dxa"/>
            </w:tcMar>
          </w:tcPr>
          <w:p>
            <w:pPr>
              <w:jc w:val="center"/>
            </w:pPr>
            <w:r>
              <w:rPr>
                <w:sz w:val="19"/>
              </w:rPr>
              <w:t>0.314</w:t>
            </w:r>
          </w:p>
        </w:tc>
        <w:tc>
          <w:tcPr>
            <w:tcW w:type="dxa" w:w="850"/>
            <w:vAlign w:val="center"/>
            <w:tcMar>
              <w:top w:w="80" w:type="dxa"/>
              <w:start w:w="100" w:type="dxa"/>
              <w:bottom w:w="80" w:type="dxa"/>
              <w:end w:w="100" w:type="dxa"/>
            </w:tcMar>
          </w:tcPr>
          <w:p>
            <w:pPr>
              <w:jc w:val="center"/>
            </w:pPr>
            <w:r>
              <w:rPr>
                <w:sz w:val="19"/>
              </w:rPr>
              <w:t>0.10</w:t>
            </w:r>
          </w:p>
        </w:tc>
      </w:tr>
      <w:tr>
        <w:tc>
          <w:tcPr>
            <w:tcW w:type="dxa" w:w="2268"/>
            <w:vAlign w:val="center"/>
            <w:tcMar>
              <w:top w:w="80" w:type="dxa"/>
              <w:start w:w="100" w:type="dxa"/>
              <w:bottom w:w="80" w:type="dxa"/>
              <w:end w:w="100" w:type="dxa"/>
            </w:tcMar>
          </w:tcPr>
          <w:p>
            <w:pPr>
              <w:jc w:val="left"/>
            </w:pPr>
            <w:r>
              <w:rPr>
                <w:sz w:val="19"/>
              </w:rPr>
              <w:t>Gradient Boosting</w:t>
            </w:r>
          </w:p>
        </w:tc>
        <w:tc>
          <w:tcPr>
            <w:tcW w:type="dxa" w:w="1191"/>
            <w:vAlign w:val="center"/>
            <w:tcMar>
              <w:top w:w="80" w:type="dxa"/>
              <w:start w:w="100" w:type="dxa"/>
              <w:bottom w:w="80" w:type="dxa"/>
              <w:end w:w="100" w:type="dxa"/>
            </w:tcMar>
          </w:tcPr>
          <w:p>
            <w:pPr>
              <w:jc w:val="center"/>
            </w:pPr>
            <w:r>
              <w:rPr>
                <w:sz w:val="19"/>
              </w:rPr>
              <w:t>0.243</w:t>
            </w:r>
          </w:p>
        </w:tc>
        <w:tc>
          <w:tcPr>
            <w:tcW w:type="dxa" w:w="1134"/>
            <w:vAlign w:val="center"/>
            <w:tcMar>
              <w:top w:w="80" w:type="dxa"/>
              <w:start w:w="100" w:type="dxa"/>
              <w:bottom w:w="80" w:type="dxa"/>
              <w:end w:w="100" w:type="dxa"/>
            </w:tcMar>
          </w:tcPr>
          <w:p>
            <w:pPr>
              <w:jc w:val="center"/>
            </w:pPr>
            <w:r>
              <w:rPr>
                <w:sz w:val="19"/>
              </w:rPr>
              <w:t>0.026</w:t>
            </w:r>
          </w:p>
        </w:tc>
        <w:tc>
          <w:tcPr>
            <w:tcW w:type="dxa" w:w="1304"/>
            <w:vAlign w:val="center"/>
            <w:tcMar>
              <w:top w:w="80" w:type="dxa"/>
              <w:start w:w="100" w:type="dxa"/>
              <w:bottom w:w="80" w:type="dxa"/>
              <w:end w:w="100" w:type="dxa"/>
            </w:tcMar>
          </w:tcPr>
          <w:p>
            <w:pPr>
              <w:jc w:val="center"/>
            </w:pPr>
            <w:r>
              <w:rPr>
                <w:sz w:val="19"/>
              </w:rPr>
              <w:t>0.722</w:t>
            </w:r>
          </w:p>
        </w:tc>
        <w:tc>
          <w:tcPr>
            <w:tcW w:type="dxa" w:w="1247"/>
            <w:vAlign w:val="center"/>
            <w:tcMar>
              <w:top w:w="80" w:type="dxa"/>
              <w:start w:w="100" w:type="dxa"/>
              <w:bottom w:w="80" w:type="dxa"/>
              <w:end w:w="100" w:type="dxa"/>
            </w:tcMar>
          </w:tcPr>
          <w:p>
            <w:pPr>
              <w:jc w:val="center"/>
            </w:pPr>
            <w:r>
              <w:rPr>
                <w:sz w:val="19"/>
              </w:rPr>
              <w:t>0.262</w:t>
            </w:r>
          </w:p>
        </w:tc>
        <w:tc>
          <w:tcPr>
            <w:tcW w:type="dxa" w:w="1020"/>
            <w:vAlign w:val="center"/>
            <w:tcMar>
              <w:top w:w="80" w:type="dxa"/>
              <w:start w:w="100" w:type="dxa"/>
              <w:bottom w:w="80" w:type="dxa"/>
              <w:end w:w="100" w:type="dxa"/>
            </w:tcMar>
          </w:tcPr>
          <w:p>
            <w:pPr>
              <w:jc w:val="center"/>
            </w:pPr>
            <w:r>
              <w:rPr>
                <w:sz w:val="19"/>
              </w:rPr>
              <w:t>0.377</w:t>
            </w:r>
          </w:p>
        </w:tc>
        <w:tc>
          <w:tcPr>
            <w:tcW w:type="dxa" w:w="850"/>
            <w:vAlign w:val="center"/>
            <w:tcMar>
              <w:top w:w="80" w:type="dxa"/>
              <w:start w:w="100" w:type="dxa"/>
              <w:bottom w:w="80" w:type="dxa"/>
              <w:end w:w="100" w:type="dxa"/>
            </w:tcMar>
          </w:tcPr>
          <w:p>
            <w:pPr>
              <w:jc w:val="center"/>
            </w:pPr>
            <w:r>
              <w:rPr>
                <w:sz w:val="19"/>
              </w:rPr>
              <w:t>0.10</w:t>
            </w:r>
          </w:p>
        </w:tc>
      </w:tr>
      <w:tr>
        <w:tc>
          <w:tcPr>
            <w:tcW w:type="dxa" w:w="2268"/>
            <w:vAlign w:val="center"/>
            <w:tcMar>
              <w:top w:w="80" w:type="dxa"/>
              <w:start w:w="100" w:type="dxa"/>
              <w:bottom w:w="80" w:type="dxa"/>
              <w:end w:w="100" w:type="dxa"/>
            </w:tcMar>
          </w:tcPr>
          <w:p>
            <w:pPr>
              <w:jc w:val="left"/>
            </w:pPr>
            <w:r>
              <w:rPr>
                <w:sz w:val="19"/>
              </w:rPr>
              <w:t>Logistic Regression</w:t>
            </w:r>
          </w:p>
        </w:tc>
        <w:tc>
          <w:tcPr>
            <w:tcW w:type="dxa" w:w="1191"/>
            <w:vAlign w:val="center"/>
            <w:tcMar>
              <w:top w:w="80" w:type="dxa"/>
              <w:start w:w="100" w:type="dxa"/>
              <w:bottom w:w="80" w:type="dxa"/>
              <w:end w:w="100" w:type="dxa"/>
            </w:tcMar>
          </w:tcPr>
          <w:p>
            <w:pPr>
              <w:jc w:val="center"/>
            </w:pPr>
            <w:r>
              <w:rPr>
                <w:sz w:val="19"/>
              </w:rPr>
              <w:t>0.192</w:t>
            </w:r>
          </w:p>
        </w:tc>
        <w:tc>
          <w:tcPr>
            <w:tcW w:type="dxa" w:w="1134"/>
            <w:vAlign w:val="center"/>
            <w:tcMar>
              <w:top w:w="80" w:type="dxa"/>
              <w:start w:w="100" w:type="dxa"/>
              <w:bottom w:w="80" w:type="dxa"/>
              <w:end w:w="100" w:type="dxa"/>
            </w:tcMar>
          </w:tcPr>
          <w:p>
            <w:pPr>
              <w:jc w:val="center"/>
            </w:pPr>
            <w:r>
              <w:rPr>
                <w:sz w:val="19"/>
              </w:rPr>
              <w:t>0.602</w:t>
            </w:r>
          </w:p>
        </w:tc>
        <w:tc>
          <w:tcPr>
            <w:tcW w:type="dxa" w:w="1304"/>
            <w:vAlign w:val="center"/>
            <w:tcMar>
              <w:top w:w="80" w:type="dxa"/>
              <w:start w:w="100" w:type="dxa"/>
              <w:bottom w:w="80" w:type="dxa"/>
              <w:end w:w="100" w:type="dxa"/>
            </w:tcMar>
          </w:tcPr>
          <w:p>
            <w:pPr>
              <w:jc w:val="center"/>
            </w:pPr>
            <w:r>
              <w:rPr>
                <w:sz w:val="19"/>
              </w:rPr>
              <w:t>0.693</w:t>
            </w:r>
          </w:p>
        </w:tc>
        <w:tc>
          <w:tcPr>
            <w:tcW w:type="dxa" w:w="1247"/>
            <w:vAlign w:val="center"/>
            <w:tcMar>
              <w:top w:w="80" w:type="dxa"/>
              <w:start w:w="100" w:type="dxa"/>
              <w:bottom w:w="80" w:type="dxa"/>
              <w:end w:w="100" w:type="dxa"/>
            </w:tcMar>
          </w:tcPr>
          <w:p>
            <w:pPr>
              <w:jc w:val="center"/>
            </w:pPr>
            <w:r>
              <w:rPr>
                <w:sz w:val="19"/>
              </w:rPr>
              <w:t>0.241</w:t>
            </w:r>
          </w:p>
        </w:tc>
        <w:tc>
          <w:tcPr>
            <w:tcW w:type="dxa" w:w="1020"/>
            <w:vAlign w:val="center"/>
            <w:tcMar>
              <w:top w:w="80" w:type="dxa"/>
              <w:start w:w="100" w:type="dxa"/>
              <w:bottom w:w="80" w:type="dxa"/>
              <w:end w:w="100" w:type="dxa"/>
            </w:tcMar>
          </w:tcPr>
          <w:p>
            <w:pPr>
              <w:jc w:val="center"/>
            </w:pPr>
            <w:r>
              <w:rPr>
                <w:sz w:val="19"/>
              </w:rPr>
              <w:t>0.219</w:t>
            </w:r>
          </w:p>
        </w:tc>
        <w:tc>
          <w:tcPr>
            <w:tcW w:type="dxa" w:w="850"/>
            <w:vAlign w:val="center"/>
            <w:tcMar>
              <w:top w:w="80" w:type="dxa"/>
              <w:start w:w="100" w:type="dxa"/>
              <w:bottom w:w="80" w:type="dxa"/>
              <w:end w:w="100" w:type="dxa"/>
            </w:tcMar>
          </w:tcPr>
          <w:p>
            <w:pPr>
              <w:jc w:val="center"/>
            </w:pPr>
            <w:r>
              <w:rPr>
                <w:sz w:val="19"/>
              </w:rPr>
              <w:t>0.40</w:t>
            </w:r>
          </w:p>
        </w:tc>
      </w:tr>
      <w:tr>
        <w:tc>
          <w:tcPr>
            <w:tcW w:type="dxa" w:w="2268"/>
            <w:vAlign w:val="center"/>
            <w:tcMar>
              <w:top w:w="80" w:type="dxa"/>
              <w:start w:w="100" w:type="dxa"/>
              <w:bottom w:w="80" w:type="dxa"/>
              <w:end w:w="100" w:type="dxa"/>
            </w:tcMar>
          </w:tcPr>
          <w:p>
            <w:pPr>
              <w:jc w:val="left"/>
            </w:pPr>
            <w:r>
              <w:rPr>
                <w:sz w:val="19"/>
              </w:rPr>
              <w:t>MLP</w:t>
            </w:r>
          </w:p>
        </w:tc>
        <w:tc>
          <w:tcPr>
            <w:tcW w:type="dxa" w:w="1191"/>
            <w:vAlign w:val="center"/>
            <w:tcMar>
              <w:top w:w="80" w:type="dxa"/>
              <w:start w:w="100" w:type="dxa"/>
              <w:bottom w:w="80" w:type="dxa"/>
              <w:end w:w="100" w:type="dxa"/>
            </w:tcMar>
          </w:tcPr>
          <w:p>
            <w:pPr>
              <w:jc w:val="center"/>
            </w:pPr>
            <w:r>
              <w:rPr>
                <w:sz w:val="19"/>
              </w:rPr>
              <w:t>0.078</w:t>
            </w:r>
          </w:p>
        </w:tc>
        <w:tc>
          <w:tcPr>
            <w:tcW w:type="dxa" w:w="1134"/>
            <w:vAlign w:val="center"/>
            <w:tcMar>
              <w:top w:w="80" w:type="dxa"/>
              <w:start w:w="100" w:type="dxa"/>
              <w:bottom w:w="80" w:type="dxa"/>
              <w:end w:w="100" w:type="dxa"/>
            </w:tcMar>
          </w:tcPr>
          <w:p>
            <w:pPr>
              <w:jc w:val="center"/>
            </w:pPr>
            <w:r>
              <w:rPr>
                <w:sz w:val="19"/>
              </w:rPr>
              <w:t>0.000</w:t>
            </w:r>
          </w:p>
        </w:tc>
        <w:tc>
          <w:tcPr>
            <w:tcW w:type="dxa" w:w="1304"/>
            <w:vAlign w:val="center"/>
            <w:tcMar>
              <w:top w:w="80" w:type="dxa"/>
              <w:start w:w="100" w:type="dxa"/>
              <w:bottom w:w="80" w:type="dxa"/>
              <w:end w:w="100" w:type="dxa"/>
            </w:tcMar>
          </w:tcPr>
          <w:p>
            <w:pPr>
              <w:jc w:val="center"/>
            </w:pPr>
            <w:r>
              <w:rPr>
                <w:sz w:val="19"/>
              </w:rPr>
              <w:t>0.427</w:t>
            </w:r>
          </w:p>
        </w:tc>
        <w:tc>
          <w:tcPr>
            <w:tcW w:type="dxa" w:w="1247"/>
            <w:vAlign w:val="center"/>
            <w:tcMar>
              <w:top w:w="80" w:type="dxa"/>
              <w:start w:w="100" w:type="dxa"/>
              <w:bottom w:w="80" w:type="dxa"/>
              <w:end w:w="100" w:type="dxa"/>
            </w:tcMar>
          </w:tcPr>
          <w:p>
            <w:pPr>
              <w:jc w:val="center"/>
            </w:pPr>
            <w:r>
              <w:rPr>
                <w:sz w:val="19"/>
              </w:rPr>
              <w:t>0.084</w:t>
            </w:r>
          </w:p>
        </w:tc>
        <w:tc>
          <w:tcPr>
            <w:tcW w:type="dxa" w:w="1020"/>
            <w:vAlign w:val="center"/>
            <w:tcMar>
              <w:top w:w="80" w:type="dxa"/>
              <w:start w:w="100" w:type="dxa"/>
              <w:bottom w:w="80" w:type="dxa"/>
              <w:end w:w="100" w:type="dxa"/>
            </w:tcMar>
          </w:tcPr>
          <w:p>
            <w:pPr>
              <w:jc w:val="center"/>
            </w:pPr>
            <w:r>
              <w:rPr>
                <w:sz w:val="19"/>
              </w:rPr>
              <w:t>0.174</w:t>
            </w:r>
          </w:p>
        </w:tc>
        <w:tc>
          <w:tcPr>
            <w:tcW w:type="dxa" w:w="850"/>
            <w:vAlign w:val="center"/>
            <w:tcMar>
              <w:top w:w="80" w:type="dxa"/>
              <w:start w:w="100" w:type="dxa"/>
              <w:bottom w:w="80" w:type="dxa"/>
              <w:end w:w="100" w:type="dxa"/>
            </w:tcMar>
          </w:tcPr>
          <w:p>
            <w:pPr>
              <w:jc w:val="center"/>
            </w:pPr>
            <w:r>
              <w:rPr>
                <w:sz w:val="19"/>
              </w:rPr>
              <w:t>0.10</w:t>
            </w:r>
          </w:p>
        </w:tc>
      </w:tr>
    </w:tbl>
    <w:p/>
    <w:p>
      <w:r>
        <w:drawing>
          <wp:inline xmlns:a="http://schemas.openxmlformats.org/drawingml/2006/main" xmlns:pic="http://schemas.openxmlformats.org/drawingml/2006/picture">
            <wp:extent cx="5328000" cy="2997000"/>
            <wp:docPr id="1" name="Picture 1"/>
            <wp:cNvGraphicFramePr>
              <a:graphicFrameLocks noChangeAspect="1"/>
            </wp:cNvGraphicFramePr>
            <a:graphic>
              <a:graphicData uri="http://schemas.openxmlformats.org/drawingml/2006/picture">
                <pic:pic>
                  <pic:nvPicPr>
                    <pic:cNvPr id="0" name="comparaison_modeles.png"/>
                    <pic:cNvPicPr/>
                  </pic:nvPicPr>
                  <pic:blipFill>
                    <a:blip r:embed="rId10"/>
                    <a:stretch>
                      <a:fillRect/>
                    </a:stretch>
                  </pic:blipFill>
                  <pic:spPr>
                    <a:xfrm>
                      <a:off x="0" y="0"/>
                      <a:ext cx="5328000" cy="2997000"/>
                    </a:xfrm>
                    <a:prstGeom prst="rect"/>
                  </pic:spPr>
                </pic:pic>
              </a:graphicData>
            </a:graphic>
          </wp:inline>
        </w:drawing>
      </w:r>
    </w:p>
    <w:p>
      <w:pPr>
        <w:jc w:val="center"/>
      </w:pPr>
      <w:r>
        <w:rPr>
          <w:i/>
        </w:rPr>
        <w:t>Figure 1 — Comparaison des modèles selon la CV PR-AUC et le F1-score sur le test.</w:t>
      </w:r>
    </w:p>
    <w:p>
      <w:r>
        <w:t>Les résultats montrent que les deux meilleurs candidats sont Random Forest et Gradient Boosting. Le Random Forest présente la meilleure PR-AUC moyenne en validation croisée (0,251), alors que Gradient Boosting atteint le meilleur F1-score sur le test (0,377).</w:t>
      </w:r>
    </w:p>
    <w:p>
      <w:r>
        <w:t>Le choix final s’est porté sur Random Forest, car le critère principal de sélection est la robustesse en validation croisée, et non l’optimisation opportuniste sur le test set. La régression logistique reste utile comme baseline interprétable. Le MLP est conservé pour répondre à l’exigence de comparaison avec un modèle de deep learning, mais ses performances sont insuffisantes dans ce contexte.</w:t>
      </w:r>
    </w:p>
    <w:p>
      <w:pPr>
        <w:pStyle w:val="Heading1"/>
      </w:pPr>
      <w:r>
        <w:t>5. Analyse du modèle final</w:t>
      </w:r>
    </w:p>
    <w:p>
      <w:r>
        <w:t>Le modèle final utilise un seuil de décision de 0,10. Ce seuil relativement bas s’explique par le déséquilibre de classes : il permet de détecter davantage de churners, au prix d’un nombre plus élevé de faux positifs.</w:t>
      </w:r>
    </w:p>
    <w:tbl>
      <w:tblPr>
        <w:tblStyle w:val="TableGrid"/>
        <w:tblW w:type="auto" w:w="0"/>
        <w:jc w:val="center"/>
        <w:tblLayout w:type="fixed"/>
        <w:tblLook w:firstColumn="1" w:firstRow="1" w:lastColumn="0" w:lastRow="0" w:noHBand="0" w:noVBand="1" w:val="04A0"/>
      </w:tblPr>
      <w:tblGrid>
        <w:gridCol w:w="4873"/>
        <w:gridCol w:w="4873"/>
      </w:tblGrid>
      <w:tr>
        <w:tc>
          <w:tcPr>
            <w:tcW w:type="dxa" w:w="3685"/>
            <w:vAlign w:val="center"/>
            <w:shd w:fill="DCE6F1"/>
            <w:tcMar>
              <w:top w:w="80" w:type="dxa"/>
              <w:start w:w="100" w:type="dxa"/>
              <w:bottom w:w="80" w:type="dxa"/>
              <w:end w:w="100" w:type="dxa"/>
            </w:tcMar>
          </w:tcPr>
          <w:p>
            <w:pPr>
              <w:jc w:val="center"/>
            </w:pPr>
            <w:r>
              <w:rPr>
                <w:b/>
                <w:sz w:val="18"/>
              </w:rPr>
              <w:t>Élément</w:t>
            </w:r>
          </w:p>
        </w:tc>
        <w:tc>
          <w:tcPr>
            <w:tcW w:type="dxa" w:w="1701"/>
            <w:vAlign w:val="center"/>
            <w:shd w:fill="DCE6F1"/>
            <w:tcMar>
              <w:top w:w="80" w:type="dxa"/>
              <w:start w:w="100" w:type="dxa"/>
              <w:bottom w:w="80" w:type="dxa"/>
              <w:end w:w="100" w:type="dxa"/>
            </w:tcMar>
          </w:tcPr>
          <w:p>
            <w:pPr>
              <w:jc w:val="center"/>
            </w:pPr>
            <w:r>
              <w:rPr>
                <w:b/>
                <w:sz w:val="18"/>
              </w:rPr>
              <w:t>Valeur</w:t>
            </w:r>
          </w:p>
        </w:tc>
      </w:tr>
      <w:tr>
        <w:tc>
          <w:tcPr>
            <w:tcW w:type="dxa" w:w="3685"/>
            <w:vAlign w:val="center"/>
            <w:tcMar>
              <w:top w:w="80" w:type="dxa"/>
              <w:start w:w="100" w:type="dxa"/>
              <w:bottom w:w="80" w:type="dxa"/>
              <w:end w:w="100" w:type="dxa"/>
            </w:tcMar>
          </w:tcPr>
          <w:p>
            <w:pPr>
              <w:jc w:val="left"/>
            </w:pPr>
            <w:r>
              <w:rPr>
                <w:sz w:val="19"/>
              </w:rPr>
              <w:t>Vrais négatifs</w:t>
            </w:r>
          </w:p>
        </w:tc>
        <w:tc>
          <w:tcPr>
            <w:tcW w:type="dxa" w:w="1701"/>
            <w:vAlign w:val="center"/>
            <w:tcMar>
              <w:top w:w="80" w:type="dxa"/>
              <w:start w:w="100" w:type="dxa"/>
              <w:bottom w:w="80" w:type="dxa"/>
              <w:end w:w="100" w:type="dxa"/>
            </w:tcMar>
          </w:tcPr>
          <w:p>
            <w:pPr>
              <w:jc w:val="center"/>
            </w:pPr>
            <w:r>
              <w:rPr>
                <w:sz w:val="19"/>
              </w:rPr>
              <w:t>1270</w:t>
            </w:r>
          </w:p>
        </w:tc>
      </w:tr>
      <w:tr>
        <w:tc>
          <w:tcPr>
            <w:tcW w:type="dxa" w:w="3685"/>
            <w:vAlign w:val="center"/>
            <w:tcMar>
              <w:top w:w="80" w:type="dxa"/>
              <w:start w:w="100" w:type="dxa"/>
              <w:bottom w:w="80" w:type="dxa"/>
              <w:end w:w="100" w:type="dxa"/>
            </w:tcMar>
          </w:tcPr>
          <w:p>
            <w:pPr>
              <w:jc w:val="left"/>
            </w:pPr>
            <w:r>
              <w:rPr>
                <w:sz w:val="19"/>
              </w:rPr>
              <w:t>Faux positifs</w:t>
            </w:r>
          </w:p>
        </w:tc>
        <w:tc>
          <w:tcPr>
            <w:tcW w:type="dxa" w:w="1701"/>
            <w:vAlign w:val="center"/>
            <w:tcMar>
              <w:top w:w="80" w:type="dxa"/>
              <w:start w:w="100" w:type="dxa"/>
              <w:bottom w:w="80" w:type="dxa"/>
              <w:end w:w="100" w:type="dxa"/>
            </w:tcMar>
          </w:tcPr>
          <w:p>
            <w:pPr>
              <w:jc w:val="center"/>
            </w:pPr>
            <w:r>
              <w:rPr>
                <w:sz w:val="19"/>
              </w:rPr>
              <w:t>526</w:t>
            </w:r>
          </w:p>
        </w:tc>
      </w:tr>
      <w:tr>
        <w:tc>
          <w:tcPr>
            <w:tcW w:type="dxa" w:w="3685"/>
            <w:vAlign w:val="center"/>
            <w:tcMar>
              <w:top w:w="80" w:type="dxa"/>
              <w:start w:w="100" w:type="dxa"/>
              <w:bottom w:w="80" w:type="dxa"/>
              <w:end w:w="100" w:type="dxa"/>
            </w:tcMar>
          </w:tcPr>
          <w:p>
            <w:pPr>
              <w:jc w:val="left"/>
            </w:pPr>
            <w:r>
              <w:rPr>
                <w:sz w:val="19"/>
              </w:rPr>
              <w:t>Faux négatifs</w:t>
            </w:r>
          </w:p>
        </w:tc>
        <w:tc>
          <w:tcPr>
            <w:tcW w:type="dxa" w:w="1701"/>
            <w:vAlign w:val="center"/>
            <w:tcMar>
              <w:top w:w="80" w:type="dxa"/>
              <w:start w:w="100" w:type="dxa"/>
              <w:bottom w:w="80" w:type="dxa"/>
              <w:end w:w="100" w:type="dxa"/>
            </w:tcMar>
          </w:tcPr>
          <w:p>
            <w:pPr>
              <w:jc w:val="center"/>
            </w:pPr>
            <w:r>
              <w:rPr>
                <w:sz w:val="19"/>
              </w:rPr>
              <w:t>68</w:t>
            </w:r>
          </w:p>
        </w:tc>
      </w:tr>
      <w:tr>
        <w:tc>
          <w:tcPr>
            <w:tcW w:type="dxa" w:w="3685"/>
            <w:vAlign w:val="center"/>
            <w:tcMar>
              <w:top w:w="80" w:type="dxa"/>
              <w:start w:w="100" w:type="dxa"/>
              <w:bottom w:w="80" w:type="dxa"/>
              <w:end w:w="100" w:type="dxa"/>
            </w:tcMar>
          </w:tcPr>
          <w:p>
            <w:pPr>
              <w:jc w:val="left"/>
            </w:pPr>
            <w:r>
              <w:rPr>
                <w:sz w:val="19"/>
              </w:rPr>
              <w:t>Vrais positifs</w:t>
            </w:r>
          </w:p>
        </w:tc>
        <w:tc>
          <w:tcPr>
            <w:tcW w:type="dxa" w:w="1701"/>
            <w:vAlign w:val="center"/>
            <w:tcMar>
              <w:top w:w="80" w:type="dxa"/>
              <w:start w:w="100" w:type="dxa"/>
              <w:bottom w:w="80" w:type="dxa"/>
              <w:end w:w="100" w:type="dxa"/>
            </w:tcMar>
          </w:tcPr>
          <w:p>
            <w:pPr>
              <w:jc w:val="center"/>
            </w:pPr>
            <w:r>
              <w:rPr>
                <w:sz w:val="19"/>
              </w:rPr>
              <w:t>136</w:t>
            </w:r>
          </w:p>
        </w:tc>
      </w:tr>
    </w:tbl>
    <w:p/>
    <w:p>
      <w:r>
        <w:drawing>
          <wp:inline xmlns:a="http://schemas.openxmlformats.org/drawingml/2006/main" xmlns:pic="http://schemas.openxmlformats.org/drawingml/2006/picture">
            <wp:extent cx="3240000" cy="2880000"/>
            <wp:docPr id="2" name="Picture 2"/>
            <wp:cNvGraphicFramePr>
              <a:graphicFrameLocks noChangeAspect="1"/>
            </wp:cNvGraphicFramePr>
            <a:graphic>
              <a:graphicData uri="http://schemas.openxmlformats.org/drawingml/2006/picture">
                <pic:pic>
                  <pic:nvPicPr>
                    <pic:cNvPr id="0" name="matrice_confusion.png"/>
                    <pic:cNvPicPr/>
                  </pic:nvPicPr>
                  <pic:blipFill>
                    <a:blip r:embed="rId11"/>
                    <a:stretch>
                      <a:fillRect/>
                    </a:stretch>
                  </pic:blipFill>
                  <pic:spPr>
                    <a:xfrm>
                      <a:off x="0" y="0"/>
                      <a:ext cx="3240000" cy="2880000"/>
                    </a:xfrm>
                    <a:prstGeom prst="rect"/>
                  </pic:spPr>
                </pic:pic>
              </a:graphicData>
            </a:graphic>
          </wp:inline>
        </w:drawing>
      </w:r>
    </w:p>
    <w:p>
      <w:pPr>
        <w:jc w:val="center"/>
      </w:pPr>
      <w:r>
        <w:rPr>
          <w:i/>
        </w:rPr>
        <w:t>Figure 2 — Matrice de confusion du modèle final sur le jeu de test.</w:t>
      </w:r>
    </w:p>
    <w:p>
      <w:r>
        <w:t>La matrice de confusion montre une forte capacité de détection des churners par rapport à un seuil standard, mais aussi un nombre conséquent de faux positifs. Ce compromis est cohérent avec une stratégie métier orientée détection précoce.</w:t>
      </w:r>
    </w:p>
    <w:p>
      <w:r>
        <w:drawing>
          <wp:inline xmlns:a="http://schemas.openxmlformats.org/drawingml/2006/main" xmlns:pic="http://schemas.openxmlformats.org/drawingml/2006/picture">
            <wp:extent cx="4860000" cy="291600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4860000" cy="2916000"/>
                    </a:xfrm>
                    <a:prstGeom prst="rect"/>
                  </pic:spPr>
                </pic:pic>
              </a:graphicData>
            </a:graphic>
          </wp:inline>
        </w:drawing>
      </w:r>
    </w:p>
    <w:p>
      <w:pPr>
        <w:jc w:val="center"/>
      </w:pPr>
      <w:r>
        <w:rPr>
          <w:i/>
        </w:rPr>
        <w:t>Figure 3 — Top 10 des variables importantes du Random Forest.</w:t>
      </w:r>
    </w:p>
    <w:p>
      <w:r>
        <w:t>L’importance des variables met en avant l’ancienneté (`tenure_months`), le nombre de connexions mensuelles, le temps moyen de session, le score NPS et l’âge. Les incidents de paiement et l’activité hebdomadaire jouent également un rôle. À l’inverse, le genre et le type de contrat pèsent nettement moins dans la décision du modèle final.</w:t>
      </w:r>
    </w:p>
    <w:p>
      <w:pPr>
        <w:pStyle w:val="Heading1"/>
      </w:pPr>
      <w:r>
        <w:t>6. Déploiement et valorisation</w:t>
      </w:r>
    </w:p>
    <w:p>
      <w:r>
        <w:t>Le projet ne se limite pas à la modélisation. Il comprend également une couche de déploiement légère mais exploitable :</w:t>
      </w:r>
    </w:p>
    <w:p>
      <w:pPr>
        <w:pStyle w:val="ListBullet"/>
      </w:pPr>
      <w:r>
        <w:t>une API FastAPI qui charge le modèle depuis MLflow (avec un fallback local) et expose les endpoints `/health`, `/model-info` et `/predict` ;</w:t>
      </w:r>
    </w:p>
    <w:p>
      <w:pPr>
        <w:pStyle w:val="ListBullet"/>
      </w:pPr>
      <w:r>
        <w:t>un dashboard Streamlit qui permet de simuler un client, d’afficher la probabilité de churn, le niveau de risque et quelques indicateurs métier ;</w:t>
      </w:r>
    </w:p>
    <w:p>
      <w:pPr>
        <w:pStyle w:val="ListBullet"/>
      </w:pPr>
      <w:r>
        <w:t>des notebooks séparés pour l’EDA (`traitement_eda.ipynb`) et pour l’analyse de modélisation (`analysis.ipynb`).</w:t>
      </w:r>
    </w:p>
    <w:p>
      <w:r>
        <w:t>Cette organisation rend le projet plus clair : un notebook pour comprendre les données, un notebook pour comparer les modèles, un script pour l’entraînement reproductible, une API pour le service de prédiction et un dashboard pour la démonstration.</w:t>
      </w:r>
    </w:p>
    <w:p>
      <w:pPr>
        <w:pStyle w:val="Heading1"/>
      </w:pPr>
      <w:r>
        <w:t>7. Limites et pistes d’amélioration</w:t>
      </w:r>
    </w:p>
    <w:p>
      <w:pPr>
        <w:pStyle w:val="ListBullet"/>
      </w:pPr>
      <w:r>
        <w:t>Le dataset est déséquilibré, ce qui complique la calibration des seuils et la lecture des métriques.</w:t>
      </w:r>
    </w:p>
    <w:p>
      <w:pPr>
        <w:pStyle w:val="ListBullet"/>
      </w:pPr>
      <w:r>
        <w:t>Le modèle final repose sur 10 variables afin de garder une cohérence simple entre entraînement, API et dashboard ; une version plus avancée pourrait réintégrer davantage de variables utiles.</w:t>
      </w:r>
    </w:p>
    <w:p>
      <w:pPr>
        <w:pStyle w:val="ListBullet"/>
      </w:pPr>
      <w:r>
        <w:t>L’explicabilité locale n’est pas encore poussée jusqu’à SHAP ou LIME.</w:t>
      </w:r>
    </w:p>
    <w:p>
      <w:pPr>
        <w:pStyle w:val="ListBullet"/>
      </w:pPr>
      <w:r>
        <w:t>Le dashboard reste volontairement simple et orienté démonstration.</w:t>
      </w:r>
    </w:p>
    <w:p>
      <w:r>
        <w:t>À court terme, les améliorations les plus intéressantes seraient l’ajout d’une analyse d’erreurs plus détaillée, la génération systématique du fichier `feature_importance.csv`, l’enrichissement du dashboard avec des KPI globaux et une harmonisation complète des plages de saisie avec le dataset source.</w:t>
      </w:r>
    </w:p>
    <w:p>
      <w:pPr>
        <w:pStyle w:val="Heading1"/>
      </w:pPr>
      <w:r>
        <w:t>8. Conclusion</w:t>
      </w:r>
    </w:p>
    <w:p>
      <w:r>
        <w:t>Le projet met en place une chaîne complète de data science : analyse exploratoire, comparaison de plusieurs modèles, validation croisée, optimisation de seuil, suivi avec MLflow, déploiement via API et visualisation via Streamlit.</w:t>
      </w:r>
    </w:p>
    <w:p>
      <w:r>
        <w:t>Le résultat obtenu est cohérent, reproductible et suffisamment abouti pour un projet de fin d’année. Le Random Forest retenu fournit un compromis satisfaisant entre robustesse en validation et utilité métier, tout en s’intégrant proprement dans l’architecture technique du projet.</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Rapport de projet — churn client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