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Informe ET_BIY5121 - Entrega 3: KPI y KRI</w:t>
      </w:r>
    </w:p>
    <w:tbl>
      <w:tblPr>
        <w:tblStyle w:val="Table1"/>
        <w:tblW w:w="864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Asignatura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BIY5121 - Integración de Plataformas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013-D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José Oporto, Matías Flores, Ignacio Espinosa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spacing w:after="0" w:before="200" w:line="276" w:lineRule="auto"/>
        <w:rPr>
          <w:b w:val="1"/>
          <w:sz w:val="30"/>
          <w:szCs w:val="30"/>
        </w:rPr>
      </w:pPr>
      <w:bookmarkStart w:colFirst="0" w:colLast="0" w:name="_tedi5pd9695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KPI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KPI 1: Nivel de Satisfacción del Cliente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Medir la percepción de calidad del servicio tras la modernización.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Fórmula:</w:t>
      </w:r>
      <w:r w:rsidDel="00000000" w:rsidR="00000000" w:rsidRPr="00000000">
        <w:rPr>
          <w:rtl w:val="0"/>
        </w:rPr>
        <w:t xml:space="preserve"> Valor mensual del campo Satisfacción_Promedio.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Meta sugerida: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Mantener una puntuación ≥ 4,5 en una escala de 1 a 5.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Importancia:</w:t>
      </w:r>
      <w:r w:rsidDel="00000000" w:rsidR="00000000" w:rsidRPr="00000000">
        <w:rPr>
          <w:rtl w:val="0"/>
        </w:rPr>
        <w:t xml:space="preserve"> Un alto nivel de satisfacción impulsa la fidelidad y reputación, especialmente con la nueva modalidad a domicilio.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KPI 2: Porcentaje de Atenciones Domiciliarias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Evaluar la adopción del nuevo servicio de veterinaria móvil.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Fórmula: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Atenciones_Domiciliarias / (Atenciones_Domiciliarias + Atenciones_Presenciales) * 100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Meta sugerida:</w:t>
      </w:r>
      <w:r w:rsidDel="00000000" w:rsidR="00000000" w:rsidRPr="00000000">
        <w:rPr>
          <w:rtl w:val="0"/>
        </w:rPr>
        <w:t xml:space="preserve"> Llegar al 25-30% del total de atenciones dentro de 6 meses.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Importancia:</w:t>
      </w:r>
      <w:r w:rsidDel="00000000" w:rsidR="00000000" w:rsidRPr="00000000">
        <w:rPr>
          <w:rtl w:val="0"/>
        </w:rPr>
        <w:t xml:space="preserve"> Permite saber si la inversión en este nuevo proceso está teniendo retorno y aceptación del cliente.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KPI 3: Tasa de Conversión Web a Pedido Online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Evaluar la eficacia del sitio web y sistema de reservas online.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Fórmula: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Pedidos_Online / Visitas_Web * 100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Meta sugerida: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Mantener una conversión de ≥ 10%.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Importancia:</w:t>
      </w:r>
      <w:r w:rsidDel="00000000" w:rsidR="00000000" w:rsidRPr="00000000">
        <w:rPr>
          <w:rtl w:val="0"/>
        </w:rPr>
        <w:t xml:space="preserve"> Detecta si la plataforma digital está funcionando como canal de captación de clientes.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KRI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KRI 1: Tasa de Casos por Negligencia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Fórmula: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Casos_Negligencia / Operaciones_Críticas * 100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Umbral crítico: &gt; 3%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Importancia: Un aumento podría implicar riesgos legales y de reputación.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KRI 2: Porcentaje de Devoluciones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Fórmula: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Devoluciones / Productos_Vendidos * 100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Umbral crítico: &gt; 2%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Importancia: Si se supera, puede indicar problemas de calidad, mal diagnóstico o fallas logísticas.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KRI 3: Disminución de la Satisfacción Promedio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Fórmula: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Comparación de Satisfacción_Promedio mes a mes.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Umbral crítico: Disminución de más de 0.3 puntos respecto al mes anterior.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Importancia: Si la satisfacción cae bruscamente, puede ser señal de problemas recientes en la atención presencial o a domicilio.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