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500" w:after="200"/>
        <w:jc w:val="center"/>
      </w:pPr>
      <w:r>
        <w:rPr>
          <w:rFonts w:ascii="Times New Roman" w:hAnsi="Times New Roman"/>
          <w:b/>
          <w:sz w:val="36"/>
        </w:rPr>
        <w:t>ОБОСНОВАНИЕ ВЫБОРА ДИЗАЙНА</w:t>
      </w:r>
    </w:p>
    <w:p>
      <w:pPr>
        <w:pStyle w:val="Title"/>
        <w:spacing w:before="200" w:after="200"/>
        <w:jc w:val="center"/>
      </w:pPr>
      <w:r>
        <w:rPr>
          <w:rFonts w:ascii="Times New Roman" w:hAnsi="Times New Roman"/>
          <w:b/>
          <w:sz w:val="48"/>
        </w:rPr>
        <w:t>Молочная ферма Луговая</w:t>
      </w:r>
    </w:p>
    <w:p>
      <w:pPr>
        <w:spacing w:before="160" w:after="200"/>
        <w:jc w:val="center"/>
      </w:pPr>
      <w:r>
        <w:rPr>
          <w:rFonts w:ascii="Times New Roman" w:hAnsi="Times New Roman"/>
          <w:b w:val="0"/>
          <w:sz w:val="24"/>
        </w:rPr>
        <w:t>Учёт продукции и бронирование в 1С версии 1.2.0</w:t>
      </w:r>
    </w:p>
    <w:p>
      <w:pPr>
        <w:spacing w:before="0" w:after="200"/>
        <w:jc w:val="center"/>
      </w:pPr>
      <w:r>
        <w:rPr>
          <w:rFonts w:ascii="Times New Roman" w:hAnsi="Times New Roman"/>
          <w:b w:val="0"/>
          <w:sz w:val="24"/>
        </w:rPr>
        <w:t>Дисциплина «Управление проектами»</w:t>
      </w:r>
    </w:p>
    <w:p>
      <w:pPr>
        <w:spacing w:before="1600" w:after="200"/>
        <w:ind w:left="4535"/>
        <w:jc w:val="left"/>
      </w:pPr>
      <w:r>
        <w:rPr>
          <w:rFonts w:ascii="Times New Roman" w:hAnsi="Times New Roman"/>
          <w:b w:val="0"/>
          <w:sz w:val="24"/>
        </w:rPr>
        <w:t>Выполнил</w:t>
      </w:r>
    </w:p>
    <w:p>
      <w:pPr>
        <w:spacing w:before="0" w:after="200"/>
        <w:ind w:left="4535"/>
        <w:jc w:val="left"/>
      </w:pPr>
      <w:r>
        <w:rPr>
          <w:rFonts w:ascii="Times New Roman" w:hAnsi="Times New Roman"/>
          <w:b/>
          <w:sz w:val="24"/>
        </w:rPr>
        <w:t>Калинин Игорь Вячеславович</w:t>
      </w:r>
    </w:p>
    <w:p>
      <w:pPr>
        <w:spacing w:before="3100" w:after="200"/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pPr>
        <w:pStyle w:val="Heading1"/>
        <w:pageBreakBefore/>
      </w:pPr>
      <w:r>
        <w:t>Содержание</w:t>
      </w:r>
    </w:p>
    <w:p>
      <w:pPr>
        <w:tabs>
          <w:tab w:pos="9439" w:val="right" w:leader="dot"/>
        </w:tabs>
        <w:spacing w:after="180"/>
      </w:pPr>
      <w:hyperlink w:anchor="chapter_1">
        <w:r>
          <w:t>1 Оформление бронирования</w:t>
        </w:r>
      </w:hyperlink>
      <w:r>
        <w:tab/>
      </w:r>
      <w:r>
        <w:t>3</w:t>
      </w:r>
    </w:p>
    <w:p>
      <w:pPr>
        <w:tabs>
          <w:tab w:pos="9439" w:val="right" w:leader="dot"/>
        </w:tabs>
        <w:spacing w:after="180"/>
      </w:pPr>
      <w:hyperlink w:anchor="chapter_2">
        <w:r>
          <w:t>2 Назначение оформления</w:t>
        </w:r>
      </w:hyperlink>
      <w:r>
        <w:tab/>
      </w:r>
      <w:r>
        <w:t>4</w:t>
      </w:r>
    </w:p>
    <w:p>
      <w:pPr>
        <w:tabs>
          <w:tab w:pos="9439" w:val="right" w:leader="dot"/>
        </w:tabs>
        <w:spacing w:after="180"/>
      </w:pPr>
      <w:hyperlink w:anchor="chapter_3">
        <w:r>
          <w:t>3 Цвета и типографика</w:t>
        </w:r>
      </w:hyperlink>
      <w:r>
        <w:tab/>
      </w:r>
      <w:r>
        <w:t>5</w:t>
      </w:r>
    </w:p>
    <w:p>
      <w:pPr>
        <w:tabs>
          <w:tab w:pos="9439" w:val="right" w:leader="dot"/>
        </w:tabs>
        <w:spacing w:after="180"/>
      </w:pPr>
      <w:hyperlink w:anchor="chapter_4">
        <w:r>
          <w:t>4 Размещение элементов и навигация</w:t>
        </w:r>
      </w:hyperlink>
      <w:r>
        <w:tab/>
      </w:r>
      <w:r>
        <w:t>6</w:t>
      </w:r>
    </w:p>
    <w:p>
      <w:pPr>
        <w:tabs>
          <w:tab w:pos="9439" w:val="right" w:leader="dot"/>
        </w:tabs>
        <w:spacing w:after="180"/>
      </w:pPr>
      <w:hyperlink w:anchor="chapter_5">
        <w:r>
          <w:t>5 Изображения и оформление отчётов</w:t>
        </w:r>
      </w:hyperlink>
      <w:r>
        <w:tab/>
      </w:r>
      <w:r>
        <w:t>7</w:t>
      </w:r>
    </w:p>
    <w:p>
      <w:pPr>
        <w:tabs>
          <w:tab w:pos="9439" w:val="right" w:leader="dot"/>
        </w:tabs>
        <w:spacing w:after="180"/>
      </w:pPr>
      <w:hyperlink w:anchor="chapter_6">
        <w:r>
          <w:t>6 Проверка оформления</w:t>
        </w:r>
      </w:hyperlink>
      <w:r>
        <w:tab/>
      </w:r>
      <w:r>
        <w:t>8</w:t>
      </w:r>
    </w:p>
    <w:p>
      <w:bookmarkStart w:id="1000" w:name="chapter_1"/>
      <w:pPr>
        <w:pStyle w:val="Heading1"/>
        <w:pageBreakBefore/>
      </w:pPr>
      <w:r>
        <w:t>1 Оформление бронирования</w:t>
      </w:r>
      <w:bookmarkEnd w:id="1000"/>
    </w:p>
    <w:p>
      <w:r>
        <w:rPr>
          <w:b w:val="0"/>
        </w:rPr>
        <w:t>Новые команды размещены в разделе Продажа и на общем рабочем столе для пользователей с правами продажи. «Забронировать продукцию» создаёт документ, «Журнал бронирований» открывает список. Используется прежняя зелёная палитра; назначения действий указаны словами.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696"/>
      </w:tblGrid>
      <w:tr>
        <w:trPr>
          <w:tblHeader/>
          <w:cantSplit/>
        </w:trPr>
        <w:tc>
          <w:tcPr>
            <w:tcW w:type="dxa" w:w="2880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sz w:val="21"/>
              </w:rPr>
              <w:t>Элемент</w:t>
            </w:r>
          </w:p>
        </w:tc>
        <w:tc>
          <w:tcPr>
            <w:tcW w:type="dxa" w:w="6696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sz w:val="21"/>
              </w:rPr>
              <w:t>Решение и причина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Карточка бронирования</w:t>
            </w:r>
          </w:p>
        </w:tc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Те же поля и таблица продукции, что в продаже: пользователь переносит знакомый порядок заполнения.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Состояние</w:t>
            </w:r>
          </w:p>
        </w:tc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Отдельное поле только для просмотра: Забронирована, Продана либо Не действует. Состояние определяется проведением и связанной продажей.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Продать по брони</w:t>
            </w:r>
          </w:p>
        </w:tc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Явная команда в карточке. Создаёт и проводит один Расход на весь резерв, затем открывает результат.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Отменить бронь</w:t>
            </w:r>
          </w:p>
        </w:tc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Отдельная подписанная команда; не заменяется удалением строк или отрицательным количеством.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Отчёт остатков</w:t>
            </w:r>
          </w:p>
        </w:tc>
        <w:tc>
          <w:tcPr>
            <w:tcW w:type="dxa" w:w="66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Три раздельные колонки: НаСкладе, ВРезерве и Свободно. Цвет не используется как единственный признак доступности товара.</w:t>
            </w:r>
          </w:p>
        </w:tc>
      </w:tr>
    </w:tbl>
    <w:p>
      <w:pPr>
        <w:spacing w:after="0"/>
      </w:pPr>
    </w:p>
    <w:p>
      <w:r>
        <w:rPr>
          <w:b w:val="0"/>
        </w:rPr>
        <w:t>Снимки старого рабочего стола и прежнего отчёта в этом документе иллюстрируют расположение групп и палитру до доработки. Они не показывают новые кнопки и колонки. Создание новых элементов и вызов обработчиков подтверждены BF01–BF06; удобство мыши, масштабирование требуют ручного осмотра. Печать заблокирована учебной лицензией.</w:t>
      </w:r>
    </w:p>
    <w:p>
      <w:bookmarkStart w:id="1001" w:name="chapter_2"/>
      <w:pPr>
        <w:pStyle w:val="Heading1"/>
        <w:pageBreakBefore/>
      </w:pPr>
      <w:r>
        <w:t>2 Назначение оформления</w:t>
      </w:r>
      <w:bookmarkEnd w:id="1001"/>
    </w:p>
    <w:p>
      <w:r>
        <w:rPr>
          <w:b w:val="0"/>
        </w:rPr>
        <w:t>Документ обосновывает оформление конфигурации «Молочная ферма Луговая», версия 1.2.0. Пользователь оформляет поступления и продажи, работает с перечнем продукции и сверяет отчёты. Поэтому визуальные решения подчинены выбору команды, вводу данных и чтению результата.</w:t>
      </w:r>
    </w:p>
    <w:p>
      <w:pPr>
        <w:pStyle w:val="Heading2"/>
      </w:pPr>
      <w:r>
        <w:t>Основные решения</w:t>
      </w:r>
    </w:p>
    <w:p>
      <w:r>
        <w:rPr>
          <w:b w:val="0"/>
        </w:rPr>
        <w:t>Зелёный используется как основной акцент с учётом сельскохозяйственной темы. Светлый фон оставляет поля и таблицы читаемыми. Команды объединены по назначению: документы, справочные данные и проверка результатов. Фотография помогает различать продукцию в карточке.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6336"/>
      </w:tblGrid>
      <w:tr>
        <w:trPr>
          <w:tblHeader/>
          <w:cantSplit/>
        </w:trPr>
        <w:tc>
          <w:tcPr>
            <w:tcW w:type="dxa" w:w="3240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sz w:val="21"/>
              </w:rPr>
              <w:t>Задача пользователя</w:t>
            </w:r>
          </w:p>
        </w:tc>
        <w:tc>
          <w:tcPr>
            <w:tcW w:type="dxa" w:w="6336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sz w:val="21"/>
              </w:rPr>
              <w:t>Решение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Найти нужную операцию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Отдельные страницы Покупка и Продажа; подписи кнопок содержат действие.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Отличить основной шаг от вспомогательного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Основные кнопки зелёные, журналы и вспомогательные действия имеют светлый фон.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Проверить введённые значения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Сумма строки и итог документа выводятся отдельно от полей ввода.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Прочитать отчёт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Зелёная шапка с белым текстом, строки данных на светлом фоне, числовые значения с форматом.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Определить товар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Наименование, единица измерения и фотография находятся в карточке продукции.</w:t>
            </w:r>
          </w:p>
        </w:tc>
      </w:tr>
    </w:tbl>
    <w:p>
      <w:pPr>
        <w:spacing w:after="0"/>
      </w:pPr>
    </w:p>
    <w:p>
      <w:pPr>
        <w:pStyle w:val="Heading2"/>
      </w:pPr>
      <w:r>
        <w:t>Область применения</w:t>
      </w:r>
    </w:p>
    <w:p>
      <w:r>
        <w:rPr>
          <w:b w:val="0"/>
        </w:rPr>
        <w:t>Настройки относятся к разработанным формам, кнопкам и табличным отчётам. Стандартные панели и часть элементов оформления определяет платформа 1С. Системная жёлтая панель на снимках не является ошибкой применения выбранной палитры.</w:t>
      </w:r>
    </w:p>
    <w:p>
      <w:r>
        <w:rPr>
          <w:b w:val="0"/>
        </w:rPr>
        <w:t>Оформление презентации использует ту же палитру, но её шрифты и композиция не определяют внешний вид клиента 1С. Макеты интерфейса не подменяют снимки работающей базы.</w:t>
      </w:r>
    </w:p>
    <w:p>
      <w:bookmarkStart w:id="1002" w:name="chapter_3"/>
      <w:pPr>
        <w:pStyle w:val="Heading1"/>
        <w:pageBreakBefore/>
      </w:pPr>
      <w:r>
        <w:t>3 Цвета и типографика</w:t>
      </w:r>
      <w:bookmarkEnd w:id="1002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1584"/>
        <w:gridCol w:w="5832"/>
      </w:tblGrid>
      <w:tr>
        <w:trPr>
          <w:tblHeader/>
          <w:cantSplit/>
        </w:trPr>
        <w:tc>
          <w:tcPr>
            <w:tcW w:type="dxa" w:w="2160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b/>
                <w:sz w:val="21"/>
              </w:rPr>
              <w:t>Цвет</w:t>
            </w:r>
          </w:p>
        </w:tc>
        <w:tc>
          <w:tcPr>
            <w:tcW w:type="dxa" w:w="1584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b/>
                <w:sz w:val="21"/>
              </w:rPr>
              <w:t>Код</w:t>
            </w:r>
          </w:p>
        </w:tc>
        <w:tc>
          <w:tcPr>
            <w:tcW w:type="dxa" w:w="5832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sz w:val="21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Зелёный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#2F6B4F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Фон основных кнопок, текст названия фермы, шапки отчётов.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Светлый зелёный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#E6EFE7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Фон кнопок журналов и вспомогательных действий.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Тёмный зелёный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#20382C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Текст на светлых кнопках; основной текст презентации.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Кремовый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#F8F6EE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Заданный фон форм и фон презентации.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Белый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#FFFFFF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Текст на основных кнопках и заголовках отчётных таблиц.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Светлый фон строк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#EDF4ED</w:t>
            </w:r>
          </w:p>
        </w:tc>
        <w:tc>
          <w:tcPr>
            <w:tcW w:type="dxa" w:w="58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Чередующиеся строки табличного отчёта.</w:t>
            </w:r>
          </w:p>
        </w:tc>
      </w:tr>
    </w:tbl>
    <w:p>
      <w:pPr>
        <w:spacing w:after="0"/>
      </w:pPr>
    </w:p>
    <w:p>
      <w:r>
        <w:rPr>
          <w:b w:val="0"/>
        </w:rPr>
        <w:t>Коды соответствуют настройкам модулей форм. Отображение заданного фона и кнопок может различаться в зависимости от клиента и системной темы. В отчётах цвет применяется к ячейкам табличного документа.</w:t>
      </w:r>
    </w:p>
    <w:p>
      <w:pPr>
        <w:pStyle w:val="Heading2"/>
      </w:pPr>
      <w:r>
        <w:t>Иерархия текста</w:t>
      </w:r>
    </w:p>
    <w:p>
      <w:r>
        <w:rPr>
          <w:b w:val="0"/>
        </w:rPr>
        <w:t>Название фермы выделено более крупным полужирным шрифтом. Ниже размещено назначение системы. Названия групп отделяют операции от справочной информации и отчётов. В отчёте заголовок отличается от подписей колонок; количество и суммы остаются в строках данных.</w:t>
      </w:r>
    </w:p>
    <w:p>
      <w:r>
        <w:rPr>
          <w:b w:val="0"/>
        </w:rPr>
        <w:t>Подписи кнопок указывают результат действия: «Оформить приход продукции», «Журнал продаж», «Остатки на складе». Значение команды передаётся текстом, а не одним цветом. Системный шрифт форм выбирается платформой, отдельно задаются только необходимые акценты.</w:t>
      </w:r>
    </w:p>
    <w:p>
      <w:pPr>
        <w:pStyle w:val="Heading2"/>
      </w:pPr>
      <w:r>
        <w:t>Ограничения оценки</w:t>
      </w:r>
    </w:p>
    <w:p>
      <w:r>
        <w:rPr>
          <w:b w:val="0"/>
        </w:rPr>
        <w:t>Количественная проверка контрастности и исследование удобства с группой пользователей не проводились. Читаемость следует проверять на компьютере защиты при фактическом масштабе окна. Формальное соответствие стандартам доступности не заявляется.</w:t>
      </w:r>
    </w:p>
    <w:p>
      <w:bookmarkStart w:id="1003" w:name="chapter_4"/>
      <w:pPr>
        <w:pStyle w:val="Heading1"/>
        <w:pageBreakBefore/>
      </w:pPr>
      <w:r>
        <w:t>4 Размещение элементов и навигация</w:t>
      </w:r>
      <w:bookmarkEnd w:id="1003"/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035040" cy="2563905"/>
            <wp:docPr id="1" name="Picture 1" descr="Общий рабочий стол с группами коман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абочий_стол.png"/>
                    <pic:cNvPicPr/>
                  </pic:nvPicPr>
                  <pic:blipFill>
                    <a:blip r:embed="rId11"/>
                    <a:srcRect l="2155" t="37939" r="22475" b="2052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63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Рисунок 1 Группы команд общего рабочего стола</w:t>
      </w:r>
    </w:p>
    <w:p>
      <w:r>
        <w:rPr>
          <w:b w:val="0"/>
        </w:rPr>
        <w:t>Снимок показывает общий рабочий стол. Слева расположены создание и просмотр документов, в центре продукция и цены, справа отчёты. Основное действие и открытие журнала имеют разные подписи и фон. На снимке показан рабочий стол до добавления кнопок бронирования.</w:t>
      </w:r>
    </w:p>
    <w:p>
      <w:pPr>
        <w:pStyle w:val="Heading2"/>
      </w:pPr>
      <w:r>
        <w:t>Страницы разделов</w:t>
      </w:r>
    </w:p>
    <w:p>
      <w:r>
        <w:rPr>
          <w:b w:val="0"/>
        </w:rPr>
        <w:t>Покупка и Продажа открывают собственные страницы одной командой. В Покупке представлены поступления и поставщики, в Продаже продажи и покупатели. Общие справочники и остатки доступны с этих страниц. Подписи кнопок и правила цвета согласованы с общим рабочим столом.</w:t>
      </w:r>
    </w:p>
    <w:p>
      <w:pPr>
        <w:pStyle w:val="Heading2"/>
      </w:pPr>
      <w:r>
        <w:t>Права и видимость</w:t>
      </w:r>
    </w:p>
    <w:p>
      <w:r>
        <w:rPr>
          <w:b w:val="0"/>
        </w:rPr>
        <w:t>Набор команд зависит от роли. Пользователь Покупка не получает кнопку создания продажи, пользователь Продажа кнопку создания прихода. Это сокращает число неподходящих действий. Скрытие кнопки дополняется правами метаданных, а не заменяет их.</w:t>
      </w:r>
    </w:p>
    <w:p>
      <w:r>
        <w:rPr>
          <w:b w:val="0"/>
        </w:rPr>
        <w:t>Автоматические проверки подтверждают создание страниц и их команд. Поведение панели разделов при щелчке мышью требует ручной проверки; результат такой проверки отдельно не зафиксирован.</w:t>
      </w:r>
    </w:p>
    <w:p>
      <w:bookmarkStart w:id="1004" w:name="chapter_5"/>
      <w:pPr>
        <w:pStyle w:val="Heading1"/>
        <w:pageBreakBefore/>
      </w:pPr>
      <w:r>
        <w:t>5 Изображения и оформление отчётов</w:t>
      </w:r>
      <w:bookmarkEnd w:id="1004"/>
    </w:p>
    <w:p>
      <w:r>
        <w:rPr>
          <w:b w:val="0"/>
        </w:rPr>
        <w:t>В карточках используются изображения молока, творога и сметаны. Они созданы ImageGen для учебного проекта и не являются фотографиями реальной фермы. Изображение хранится в базе вместе с карточкой товара, поэтому его не нужно искать в отдельной папке при обычной работе.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4519" cy="187451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lk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874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Молоко 3,2%</w:t>
            </w:r>
          </w:p>
        </w:tc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4519" cy="187451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r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874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Творог 9%</w:t>
            </w:r>
          </w:p>
        </w:tc>
        <w:tc>
          <w:tcPr>
            <w:tcW w:type="dxa" w:w="316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74519" cy="187451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ea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874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Сметана 20%</w:t>
            </w:r>
          </w:p>
        </w:tc>
      </w:tr>
    </w:tbl>
    <w:p>
      <w:r>
        <w:rPr>
          <w:b w:val="0"/>
        </w:rPr>
        <w:t>Рисунок 2 Учебные изображения продукции</w:t>
      </w:r>
    </w:p>
    <w:p>
      <w:r>
        <w:rPr>
          <w:b w:val="0"/>
        </w:rPr>
        <w:t>Поле картинки сохраняет пропорции изображения. Пользователь загружает PNG или JPEG кнопкой «Загрузить фотографию» и записывает карточку. В стандартном списке продукции миниатюры не выводятся.</w:t>
      </w:r>
    </w:p>
    <w:p>
      <w:pPr>
        <w:pStyle w:val="Heading2"/>
      </w:pPr>
      <w:r>
        <w:t>Табличные результаты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035040" cy="1032218"/>
            <wp:docPr id="5" name="Picture 5" descr="Заголовки и данные отчета по остатка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Остатки.png"/>
                    <pic:cNvPicPr/>
                  </pic:nvPicPr>
                  <pic:blipFill>
                    <a:blip r:embed="rId15"/>
                    <a:srcRect l="45908" t="63095" r="8080" b="1904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032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Рисунок 3 Фрагмент результата отчёта</w:t>
      </w:r>
    </w:p>
    <w:p>
      <w:r>
        <w:rPr>
          <w:b w:val="0"/>
        </w:rPr>
        <w:t>Снимок ранней версии иллюстрирует цвет шапки и чтение данных. В версии 1.2.0 отчёт содержит единицы, отборы, складское количество, резерв и свободный остаток. Количество молока в литрах и количество творога и сметаны в килограммах проверяются отдельно.</w:t>
      </w:r>
    </w:p>
    <w:p>
      <w:bookmarkStart w:id="1005" w:name="chapter_6"/>
      <w:pPr>
        <w:pStyle w:val="Heading1"/>
        <w:pageBreakBefore/>
      </w:pPr>
      <w:r>
        <w:t>6 Проверка оформления</w:t>
      </w:r>
      <w:bookmarkEnd w:id="1005"/>
    </w:p>
    <w:p>
      <w:r>
        <w:rPr>
          <w:b w:val="0"/>
        </w:rPr>
        <w:t>Приёмка оформления проводится в работающей базе. Ниже приведены критерии ручного осмотра. Они не являются протоколом уже выполненных действий.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984"/>
      </w:tblGrid>
      <w:tr>
        <w:trPr>
          <w:tblHeader/>
          <w:cantSplit/>
        </w:trPr>
        <w:tc>
          <w:tcPr>
            <w:tcW w:type="dxa" w:w="2592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sz w:val="21"/>
              </w:rPr>
              <w:t>Объект</w:t>
            </w:r>
          </w:p>
        </w:tc>
        <w:tc>
          <w:tcPr>
            <w:tcW w:type="dxa" w:w="6984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sz w:val="21"/>
              </w:rPr>
              <w:t>Критерий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Рабочий стол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Названия групп и кнопок читаются, команды не перекрывают друг друга.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Покупка и Продажа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Открывается нужная страница, видны только доступные по роли операции.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Документ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Поля не обрезаны, суммы и итог различимы, выбранная строка определяется перед удалением.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Карточка продукции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Изображение видно без искажения пропорций; наименование и единица доступны для чтения.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Отчёт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Заголовки, единицы и числа читаются; даты и отборы соответствуют результату.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Печать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В установленной учебной версии недоступна из-за ограничения лицензии.</w:t>
            </w:r>
          </w:p>
        </w:tc>
      </w:tr>
    </w:tbl>
    <w:p>
      <w:pPr>
        <w:spacing w:after="0"/>
      </w:pPr>
    </w:p>
    <w:p>
      <w:pPr>
        <w:pStyle w:val="Heading2"/>
      </w:pPr>
      <w:r>
        <w:t>Подтверждённые сведения</w:t>
      </w:r>
    </w:p>
    <w:p>
      <w:r>
        <w:rPr>
          <w:b w:val="0"/>
        </w:rPr>
        <w:t>Наличие фотографий в хранилище проверено тремя сценариями T05. Создание карточки с полем картинки проверено F01. Команды рабочего стола и страниц разделов проверены F06, F08, F09 и F10. Эти сценарии подтверждают работу объектов, но не заменяют визуальный осмотр.</w:t>
      </w:r>
    </w:p>
    <w:p>
      <w:pPr>
        <w:pStyle w:val="Heading2"/>
      </w:pPr>
      <w:r>
        <w:t>Основание описания</w:t>
      </w:r>
    </w:p>
    <w:p>
      <w:r>
        <w:rPr>
          <w:b w:val="0"/>
        </w:rPr>
        <w:t>Использованы модули форм рабочего стола, страниц Покупка и Продажа, документов и отчётов версии 1.2.0. Снимки интерфейса предоставлены пользователем. Связанные материалы: общая документация, инструкция пользователя и документация по тестированию в соответствующих папках комплекта.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МОЛОЧНАЯ ФЕРМА ЛУГОВАЯ   /   ОБОСНОВАНИЕ ДИЗАЙНА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Обоснование выбора дизайна Молочная ферма Луговая</dc:title>
  <dc:subject/>
  <dc:creator>Калинин Игорь Вячеславович</dc:creator>
  <cp:keywords/>
  <dc:description>generated by python-docx</dc:description>
  <cp:lastModifiedBy>Калинин Игорь Вячеславович</cp:lastModifiedBy>
  <cp:revision>1</cp:revision>
  <dcterms:created xsi:type="dcterms:W3CDTF">2013-12-23T23:15:00Z</dcterms:created>
  <dcterms:modified xsi:type="dcterms:W3CDTF">2013-12-23T23:15:00Z</dcterms:modified>
  <cp:category/>
</cp:coreProperties>
</file>