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jc w:val="center"/>
      </w:pPr>
      <w:r>
        <w:rPr>
          <w:rFonts w:ascii="Arial" w:cs="Arial" w:eastAsia="Arial" w:hAnsi="Arial"/>
          <w:b/>
          <w:bCs/>
          <w:color w:val="0D2B5E"/>
          <w:sz w:val="80"/>
          <w:szCs w:val="80"/>
        </w:rPr>
        <w:t xml:space="preserve">PROJET NÉRÉ</w:t>
      </w:r>
    </w:p>
    <w:p>
      <w:pPr>
        <w:jc w:val="center"/>
      </w:pPr>
      <w:r>
        <w:rPr>
          <w:rFonts w:ascii="Arial" w:cs="Arial" w:eastAsia="Arial" w:hAnsi="Arial"/>
          <w:i/>
          <w:iCs/>
          <w:color w:val="4B5563"/>
          <w:sz w:val="32"/>
          <w:szCs w:val="32"/>
        </w:rPr>
        <w:t xml:space="preserve">Plateforme Numérique de Santé — Cameroun</w:t>
      </w:r>
    </w:p>
    <w:p>
      <w:pPr>
        <w:spacing w:after="400"/>
      </w:pPr>
      <w:r>
        <w:t xml:space="preserve"/>
      </w:r>
    </w:p>
    <w:p>
      <w:pPr>
        <w:shd w:fill="0D2B5E" w:val="clear"/>
        <w:spacing w:before="120" w:after="120"/>
        <w:ind w:left="80" w:right="80"/>
        <w:jc w:val="center"/>
      </w:pPr>
      <w:r>
        <w:rPr>
          <w:rFonts w:ascii="Arial" w:cs="Arial" w:eastAsia="Arial" w:hAnsi="Arial"/>
          <w:b/>
          <w:bCs/>
          <w:color w:val="FFFFFF"/>
          <w:sz w:val="44"/>
          <w:szCs w:val="44"/>
        </w:rPr>
        <w:t xml:space="preserve">ÉTUDE COMPARATIVE STRATÉGIQUE</w:t>
      </w:r>
    </w:p>
    <w:p>
      <w:pPr>
        <w:shd w:fill="1F5C99" w:val="clear"/>
        <w:spacing w:before="120" w:after="120"/>
        <w:ind w:left="80" w:right="80"/>
        <w:jc w:val="center"/>
      </w:pPr>
      <w:r>
        <w:rPr>
          <w:rFonts w:ascii="Arial" w:cs="Arial" w:eastAsia="Arial" w:hAnsi="Arial"/>
          <w:b/>
          <w:bCs/>
          <w:color w:val="FFFFFF"/>
          <w:sz w:val="36"/>
          <w:szCs w:val="36"/>
        </w:rPr>
        <w:t xml:space="preserve">Waspito  vs  Néré  vs  Standards Mondiaux (Doctolib &amp; Qare)</w:t>
      </w:r>
    </w:p>
    <w:p>
      <w:pPr>
        <w:spacing w:after="400"/>
      </w:pPr>
      <w:r>
        <w:t xml:space="preserve"/>
      </w:r>
    </w:p>
    <w:p>
      <w:pPr>
        <w:shd w:fill="F3F4F6" w:val="clear"/>
        <w:spacing w:before="160" w:after="160"/>
        <w:ind w:left="200" w:right="200"/>
        <w:jc w:val="center"/>
      </w:pPr>
      <w:r>
        <w:rPr>
          <w:rFonts w:ascii="Arial" w:cs="Arial" w:eastAsia="Arial" w:hAnsi="Arial"/>
          <w:i/>
          <w:iCs/>
          <w:color w:val="4B5563"/>
          <w:sz w:val="20"/>
          <w:szCs w:val="20"/>
        </w:rPr>
        <w:t xml:space="preserve">Analyse des fonctionnalités • Tests utilisateurs • Points forts &amp; faiblesses • Feuille de route pour dépasser Waspito et atteindre le niveau mondial</w:t>
      </w:r>
    </w:p>
    <w:p>
      <w:pPr>
        <w:spacing w:after="400"/>
      </w:pPr>
      <w:r>
        <w:t xml:space="preserve"/>
      </w:r>
    </w:p>
    <w:p>
      <w:pPr>
        <w:jc w:val="center"/>
      </w:pPr>
      <w:r>
        <w:rPr>
          <w:rFonts w:ascii="Arial" w:cs="Arial" w:eastAsia="Arial" w:hAnsi="Arial"/>
          <w:color w:val="1F5C99"/>
          <w:sz w:val="24"/>
          <w:szCs w:val="24"/>
        </w:rPr>
        <w:t xml:space="preserve">─────────────────────────────────────────────────</w:t>
      </w:r>
    </w:p>
    <w:p>
      <w:pPr>
        <w:spacing w:after="200"/>
      </w:pPr>
      <w:r>
        <w:t xml:space="preserve"/>
      </w:r>
    </w:p>
    <w:p>
      <w:pPr>
        <w:jc w:val="center"/>
      </w:pPr>
      <w:r>
        <w:rPr>
          <w:rFonts w:ascii="Arial" w:cs="Arial" w:eastAsia="Arial" w:hAnsi="Arial"/>
          <w:color w:val="4B5563"/>
          <w:sz w:val="20"/>
          <w:szCs w:val="20"/>
        </w:rPr>
        <w:t xml:space="preserve">Mars 2025  ·  Document Stratégique Confidentiel</w:t>
      </w:r>
    </w:p>
    <w:p>
      <w:pPr>
        <w:spacing w:after="1000"/>
      </w:pPr>
      <w:r>
        <w:t xml:space="preserve"/>
      </w:r>
    </w:p>
    <w:p>
      <w:r>
        <w:br w:type="page"/>
      </w:r>
    </w:p>
    <w:p>
      <w:pPr>
        <w:shd w:fill="0D2B5E" w:val="clear"/>
        <w:spacing w:before="200" w:after="160"/>
      </w:pPr>
      <w:r>
        <w:rPr>
          <w:rFonts w:ascii="Arial" w:cs="Arial" w:eastAsia="Arial" w:hAnsi="Arial"/>
          <w:b/>
          <w:bCs/>
          <w:color w:val="FFFFFF"/>
          <w:sz w:val="28"/>
          <w:szCs w:val="28"/>
        </w:rPr>
        <w:t xml:space="preserve">   SECTION 1 — CONTEXTE ET OBJECTIFS DE L'ÉTUDE</w:t>
      </w:r>
    </w:p>
    <w:p>
      <w:pPr>
        <w:spacing w:after="160"/>
      </w:pPr>
      <w:r>
        <w:t xml:space="preserve"/>
      </w:r>
    </w:p>
    <w:p>
      <w:pPr>
        <w:spacing w:after="100" w:line="268"/>
        <w:jc w:val="both"/>
      </w:pPr>
      <w:r>
        <w:rPr>
          <w:rFonts w:ascii="Arial" w:cs="Arial" w:eastAsia="Arial" w:hAnsi="Arial"/>
          <w:color w:val="111827"/>
          <w:sz w:val="20"/>
          <w:szCs w:val="20"/>
        </w:rPr>
        <w:t xml:space="preserve">La présente étude comparative a pour objectif d'analyser en profondeur les fonctionnalités, les forces, les faiblesses et les lacunes de l'application Waspito — principal concurrent direct de Néré au Cameroun — en les confrontant aux standards mondiaux des plateformes de santé numérique de référence (Doctolib, Qare). Cette analyse constitue le socle stratégique sur lequel Néré devra construire sa supériorité compétitive.</w:t>
      </w:r>
    </w:p>
    <w:p>
      <w:pPr>
        <w:spacing w:after="120"/>
      </w:pPr>
      <w:r>
        <w:t xml:space="preserve"/>
      </w:r>
    </w:p>
    <w:p>
      <w:pPr>
        <w:pBdr>
          <w:bottom w:val="single" w:color="1F5C99" w:sz="4" w:space="3"/>
        </w:pBdr>
        <w:spacing w:before="200" w:after="120"/>
      </w:pPr>
      <w:r>
        <w:rPr>
          <w:rFonts w:ascii="Arial" w:cs="Arial" w:eastAsia="Arial" w:hAnsi="Arial"/>
          <w:b/>
          <w:bCs/>
          <w:color w:val="0D2B5E"/>
          <w:sz w:val="24"/>
          <w:szCs w:val="24"/>
        </w:rPr>
        <w:t xml:space="preserve">1.1  Waspito en chiffres</w:t>
      </w:r>
    </w:p>
    <w:p>
      <w:pPr>
        <w:spacing w:after="100" w:line="268"/>
        <w:jc w:val="both"/>
      </w:pPr>
      <w:r>
        <w:rPr>
          <w:rFonts w:ascii="Arial" w:cs="Arial" w:eastAsia="Arial" w:hAnsi="Arial"/>
          <w:color w:val="111827"/>
          <w:sz w:val="20"/>
          <w:szCs w:val="20"/>
        </w:rPr>
        <w:t xml:space="preserve">Waspito est une startup camerounaise fondée en 2020 à Douala par Jean Lobé Lobé. Elle a levé un total de 5,25 millions de dollars auprès d'investisseurs de renom (Newtown Partners, Saviu Ventures, AAIC Ventures, AXIAN Group, Health54). Elle opère principalement au Cameroun et en Côte d'Ivoire, avec l'ambition de s'étendre à 10 pays africains. Elle a servi plus de 15 000 patients à ce jour et vise une levée de 10 millions d'euros pour accélérer sa croissance.</w:t>
      </w:r>
    </w:p>
    <w:p>
      <w:pPr>
        <w:spacing w:after="120"/>
      </w:pPr>
      <w:r>
        <w:t xml:space="preserve"/>
      </w:r>
    </w:p>
    <w:p>
      <w:pPr>
        <w:pBdr>
          <w:bottom w:val="single" w:color="1F5C99" w:sz="4" w:space="3"/>
        </w:pBdr>
        <w:spacing w:before="200" w:after="120"/>
      </w:pPr>
      <w:r>
        <w:rPr>
          <w:rFonts w:ascii="Arial" w:cs="Arial" w:eastAsia="Arial" w:hAnsi="Arial"/>
          <w:b/>
          <w:bCs/>
          <w:color w:val="0D2B5E"/>
          <w:sz w:val="24"/>
          <w:szCs w:val="24"/>
        </w:rPr>
        <w:t xml:space="preserve">1.2  Standards mondiaux de référence</w:t>
      </w:r>
    </w:p>
    <w:p>
      <w:pPr>
        <w:pStyle w:val="ListParagraph"/>
        <w:numPr>
          <w:ilvl w:val="0"/>
          <w:numId w:val="2"/>
        </w:numPr>
        <w:spacing w:after="80"/>
      </w:pPr>
      <w:r>
        <w:rPr>
          <w:rFonts w:ascii="Arial" w:cs="Arial" w:eastAsia="Arial" w:hAnsi="Arial"/>
          <w:color w:val="111827"/>
          <w:sz w:val="20"/>
          <w:szCs w:val="20"/>
        </w:rPr>
        <w:t xml:space="preserve">Doctolib (France) : N°1 européen avec 300 000+ praticiens inscrits, labellisé Ségur de la Santé, 14 millions de téléconsultations en France en 2025. Standard de référence pour la prise de RDV et la gestion d'agenda médical.</w:t>
      </w:r>
    </w:p>
    <w:p>
      <w:pPr>
        <w:pStyle w:val="ListParagraph"/>
        <w:numPr>
          <w:ilvl w:val="0"/>
          <w:numId w:val="2"/>
        </w:numPr>
        <w:spacing w:after="80"/>
      </w:pPr>
      <w:r>
        <w:rPr>
          <w:rFonts w:ascii="Arial" w:cs="Arial" w:eastAsia="Arial" w:hAnsi="Arial"/>
          <w:color w:val="111827"/>
          <w:sz w:val="20"/>
          <w:szCs w:val="20"/>
        </w:rPr>
        <w:t xml:space="preserve">Qare (France/HealthHero) : Pionnière de la téléconsultation en France depuis 2017, agréée par le Ministère de la Santé, 2 000 médecins, 30+ spécialités, disponible 7j/7 de 6h à 23h. Standard de référence pour la téléconsultation sécurisée et certifiée.</w:t>
      </w:r>
    </w:p>
    <w:p>
      <w:pPr>
        <w:spacing w:after="120"/>
      </w:pPr>
      <w:r>
        <w:t xml:space="preserve"/>
      </w:r>
    </w:p>
    <w:p>
      <w:pPr>
        <w:pBdr>
          <w:bottom w:val="single" w:color="1F5C99" w:sz="4" w:space="3"/>
        </w:pBdr>
        <w:spacing w:before="200" w:after="120"/>
      </w:pPr>
      <w:r>
        <w:rPr>
          <w:rFonts w:ascii="Arial" w:cs="Arial" w:eastAsia="Arial" w:hAnsi="Arial"/>
          <w:b/>
          <w:bCs/>
          <w:color w:val="0D2B5E"/>
          <w:sz w:val="24"/>
          <w:szCs w:val="24"/>
        </w:rPr>
        <w:t xml:space="preserve">1.3  Ambition de Néré</w:t>
      </w:r>
    </w:p>
    <w:p>
      <w:pPr>
        <w:spacing w:after="100" w:line="268"/>
        <w:jc w:val="both"/>
      </w:pPr>
      <w:r>
        <w:rPr>
          <w:rFonts w:ascii="Arial" w:cs="Arial" w:eastAsia="Arial" w:hAnsi="Arial"/>
          <w:color w:val="111827"/>
          <w:sz w:val="20"/>
          <w:szCs w:val="20"/>
        </w:rPr>
        <w:t xml:space="preserve">Néré ne vise pas uniquement à égaler Waspito. L'objectif est de dépasser Waspito sur tous les plans — sécurité, fluidité, fonctionnalités, conformité — tout en s'inspirant des meilleures pratiques de Doctolib et Qare pour créer la première plateforme de santé numérique de référence en Afrique francophone.</w:t>
      </w:r>
    </w:p>
    <w:p>
      <w:pPr>
        <w:spacing w:after="200"/>
      </w:pPr>
      <w:r>
        <w:t xml:space="preserve"/>
      </w:r>
    </w:p>
    <w:p>
      <w:r>
        <w:br w:type="page"/>
      </w:r>
    </w:p>
    <w:p>
      <w:pPr>
        <w:shd w:fill="0D2B5E" w:val="clear"/>
        <w:spacing w:before="200" w:after="160"/>
      </w:pPr>
      <w:r>
        <w:rPr>
          <w:rFonts w:ascii="Arial" w:cs="Arial" w:eastAsia="Arial" w:hAnsi="Arial"/>
          <w:b/>
          <w:bCs/>
          <w:color w:val="FFFFFF"/>
          <w:sz w:val="28"/>
          <w:szCs w:val="28"/>
        </w:rPr>
        <w:t xml:space="preserve">   SECTION 2 — TABLEAU COMPARATIF DÉTAILLÉ : WASPITO vs NÉRÉ</w:t>
      </w:r>
    </w:p>
    <w:p>
      <w:pPr>
        <w:spacing w:after="120"/>
      </w:pPr>
      <w:r>
        <w:t xml:space="preserve"/>
      </w:r>
    </w:p>
    <w:p>
      <w:pPr>
        <w:shd w:fill="F3F4F6" w:val="clear"/>
        <w:spacing w:before="80" w:after="120"/>
      </w:pPr>
      <w:r>
        <w:rPr>
          <w:rFonts w:ascii="Arial" w:cs="Arial" w:eastAsia="Arial" w:hAnsi="Arial"/>
          <w:b/>
          <w:bCs/>
          <w:color w:val="0D2B5E"/>
          <w:sz w:val="19"/>
          <w:szCs w:val="19"/>
        </w:rPr>
        <w:t xml:space="preserve">  Légende priorités : </w:t>
      </w:r>
      <w:r>
        <w:rPr>
          <w:rFonts w:ascii="Arial" w:cs="Arial" w:eastAsia="Arial" w:hAnsi="Arial"/>
          <w:color w:val="B91C1C"/>
          <w:sz w:val="19"/>
          <w:szCs w:val="19"/>
        </w:rPr>
        <w:t xml:space="preserve">  🔴 Critique V1  </w:t>
      </w:r>
      <w:r>
        <w:rPr>
          <w:rFonts w:ascii="Arial" w:cs="Arial" w:eastAsia="Arial" w:hAnsi="Arial"/>
          <w:color w:val="C05621"/>
          <w:sz w:val="19"/>
          <w:szCs w:val="19"/>
        </w:rPr>
        <w:t xml:space="preserve">  🟠 Élevée V1  </w:t>
      </w:r>
      <w:r>
        <w:rPr>
          <w:rFonts w:ascii="Arial" w:cs="Arial" w:eastAsia="Arial" w:hAnsi="Arial"/>
          <w:color w:val="0D7377"/>
          <w:sz w:val="19"/>
          <w:szCs w:val="19"/>
        </w:rPr>
        <w:t xml:space="preserve">  🟡 V2  </w:t>
      </w:r>
    </w:p>
    <w:p>
      <w:pPr>
        <w:spacing w:after="12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1900"/>
        <w:gridCol w:w="1700"/>
        <w:gridCol w:w="1700"/>
        <w:gridCol w:w="2800"/>
        <w:gridCol w:w="926"/>
      </w:tblGrid>
      <w:tr>
        <w:trPr>
          <w:tblHeader/>
        </w:trPr>
        <w:tc>
          <w:tcPr>
            <w:tcW w:type="dxa" w:w="1900"/>
            <w:shd w:fill="0D2B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Critère</w:t>
            </w:r>
          </w:p>
        </w:tc>
        <w:tc>
          <w:tcPr>
            <w:tcW w:type="dxa" w:w="1700"/>
            <w:shd w:fill="0D2B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Points forts Waspito</w:t>
            </w:r>
          </w:p>
        </w:tc>
        <w:tc>
          <w:tcPr>
            <w:tcW w:type="dxa" w:w="1700"/>
            <w:shd w:fill="0D2B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Faiblesses Waspito</w:t>
            </w:r>
          </w:p>
        </w:tc>
        <w:tc>
          <w:tcPr>
            <w:tcW w:type="dxa" w:w="2800"/>
            <w:shd w:fill="0D2B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Ce que Néré doit implémenter</w:t>
            </w:r>
          </w:p>
        </w:tc>
        <w:tc>
          <w:tcPr>
            <w:tcW w:type="dxa" w:w="926"/>
            <w:shd w:fill="0D2B5E"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Priorité</w:t>
            </w:r>
          </w:p>
        </w:tc>
      </w:tr>
      <w:tr>
        <w:tc>
          <w:tcPr>
            <w:tcW w:type="dxa" w:w="9026"/>
            <w:gridSpan w:val="5"/>
            <w:shd w:fill="1F5C99" w:val="clear"/>
            <w:tcMar>
              <w:top w:type="dxa" w:w="80"/>
              <w:left w:type="dxa" w:w="200"/>
              <w:bottom w:type="dxa" w:w="80"/>
              <w:right w:type="dxa" w:w="120"/>
            </w:tcMar>
          </w:tcPr>
          <w:p>
            <w:r>
              <w:rPr>
                <w:rFonts w:ascii="Arial" w:cs="Arial" w:eastAsia="Arial" w:hAnsi="Arial"/>
                <w:b/>
                <w:bCs/>
                <w:color w:val="FFFFFF"/>
                <w:sz w:val="20"/>
                <w:szCs w:val="20"/>
              </w:rPr>
              <w:t xml:space="preserve">  ▶  1. EXPÉRIENCE UTILISATEUR (UX) &amp; INTERFACE</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Design &amp; Interface</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Interface soignée sur iOS, mise à jour régulières de l'UI, navigation par onglets claire</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Design incohérent entre web et mobile. Pas de Design System documenté. UX lourde lors des inscriptions (trop de champs obligatoires signalés par utilisateurs Google Play)</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Créer un Design System unifié (Figma) avec composants cohérents web/mobile. Réduire le formulaire d'inscription à 3 étapes max. Onboarding interactif avec guide pas-à-pas.</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Accessibilité &amp; inclusion</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Interface disponible en FR et EN. Adaptée aux smartphones d'entrée de gamme</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Aucune mention de support d'accessibilité (malvoyants, daltoniens). Pas de mode haut contraste. Non référencé WCAG 2.1</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Implémenter les normes WCAG 2.1 niveau AA : contraste élevé, taille de police réglable, lecteur d'écran (ARIA), mode sombre. Ajouter langues locales (Bassa, Ewondo) en V2.</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Navigation mobile</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App native sur iOS et Android. Navigation par onglets intuitifs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Sélecteur de date de naissance signalé comme non intuitif. Pas de fil d'Ariane sur certains parcours. Absence d'indicateur de progression lors des étapes</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Navigation mobile-first avec Flutter. Fil d'Ariane sur tous les parcours multi-étapes. Barre de progression visuelle. Gestes tactiles natifs (swipe, pinch-to-zoom sur documents).</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Temps de chargement</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App qualifiée de rapide par certains utilisateurs. Compression basique des médias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d'indication de temps de chargement ni de skeleton screens. Risque de frustration sur 3G selon les retours terrain</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Skeleton screens sur toutes les listes. Indicateurs de chargement avec temps estimé. Lazy loading des images. Compression WebP + Gzip. Objectif : &lt; 2s sur 3G.</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9026"/>
            <w:gridSpan w:val="5"/>
            <w:shd w:fill="0D7377" w:val="clear"/>
            <w:tcMar>
              <w:top w:type="dxa" w:w="80"/>
              <w:left w:type="dxa" w:w="200"/>
              <w:bottom w:type="dxa" w:w="80"/>
              <w:right w:type="dxa" w:w="120"/>
            </w:tcMar>
          </w:tcPr>
          <w:p>
            <w:r>
              <w:rPr>
                <w:rFonts w:ascii="Arial" w:cs="Arial" w:eastAsia="Arial" w:hAnsi="Arial"/>
                <w:b/>
                <w:bCs/>
                <w:color w:val="FFFFFF"/>
                <w:sz w:val="20"/>
                <w:szCs w:val="20"/>
              </w:rPr>
              <w:t xml:space="preserve">  ▶  2. FONCTIONNALITÉS MÉDICALES &amp; CLINIQUES</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Téléconsultation vidéo</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Appels vidéo avec médecins certifiés. Bascule audio ↔ vidéo selon la qualité réseau. Historique des appels disponible</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consultation sans RDV préalable. Pas de salle d'attente virtuelle. Qualité vidéo non adaptative selon la bande passante</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Salle d'attente virtuelle avec temps d'attente estimé. Consultation sans RDV (accès immédiat médecin disponible). Qualité vidéo adaptative (WebRTC + codec AV1). Mode audio seul automatique si débit &lt; 500kbps.</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Dossier médical patient</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Accès aux profils patients par les médecins. Résultats de labo dans l'app</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Dossier Médical Électronique (DME) structuré. Pas d'historique médical longitudinal. Aucune interopérabilité avec d'autres systèmes de santé</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DME complet : antécédents, allergies, traitements en cours, vaccinations. Format HL7/FHIR pour interopérabilité future. Export PDF du dossier par le patient. Partage sécurisé entre médecins.</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Ordonnances numériques</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Ordonnance PDF envoyée sur le téléphone. Code pharmacie pour retrait sans impression</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Ordonnance en PDF statique non sécurisé. Pas de signature électronique qualifiée. Risque de falsification</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Ordonnance signée électroniquement (certificat médecin). QR Code sécurisé anti-falsification. Historique des ordonnances dans le DME patient. Envoi direct à la pharmacie partenaire choisie.</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IA médicale</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Forum géré par des médecins (questions/réponses). Articles médicaux vérifiés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d'IA de pré-triage ou d'assistance au diagnostic. Pas de chatbot médical pour les symptômes. Forum non disponible 24h/24 en temps réel</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Chatbot IA de pré-triage 24/7 (analyse des symptômes, orientation vers la bonne spécialité). Suggestions de médecins selon les symptômes décrits. Disclaimer clair : pas de diagnostic, orientation uniquement. Validation par comité médical.</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Spécialités médicales</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Plusieurs spécialités disponibles. Médecins certifiés et vérifiés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Nombre de spécialités non précisé. Pas de psychiatrie, psychologie ou santé mentale mentionnée explicitement. Couverture inégale selon les régions</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Minimum 15 spécialités dès la V1 (généraliste, pédiatre, gynécologue, dermatologue, cardiologue, psychiatre...). Carte de chaleur de disponibilité par région. Indicateur de temps d'attente par spécialité.</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9026"/>
            <w:gridSpan w:val="5"/>
            <w:shd w:fill="5B2D8E" w:val="clear"/>
            <w:tcMar>
              <w:top w:type="dxa" w:w="80"/>
              <w:left w:type="dxa" w:w="200"/>
              <w:bottom w:type="dxa" w:w="80"/>
              <w:right w:type="dxa" w:w="120"/>
            </w:tcMar>
          </w:tcPr>
          <w:p>
            <w:r>
              <w:rPr>
                <w:rFonts w:ascii="Arial" w:cs="Arial" w:eastAsia="Arial" w:hAnsi="Arial"/>
                <w:b/>
                <w:bCs/>
                <w:color w:val="FFFFFF"/>
                <w:sz w:val="20"/>
                <w:szCs w:val="20"/>
              </w:rPr>
              <w:t xml:space="preserve">  ▶  3. SÉCURITÉ, CONFORMITÉ &amp; PROTECTION DES DONNÉES</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Chiffrement des données</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HTTPS activé. Authentification biométrique disponible (v4.6+)</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Politique de confidentialité vague. Données collectées 'non liées à l'identité' selon Apple mais liste très étendue. Pas de mention de chiffrement au repos (AES-256). Pas de DPO mentionné</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Chiffrement AES-256 au repos pour toutes les données médicales. TLS 1.3 en transit. DPO nommé et visible. Politique de confidentialité claire et lisible (pas de jargon juridique). Badge de conformité visible dans l'app.</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Authentification &amp; accès</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Authentification biométrique (empreinte/Face ID). Comptes médecins vérifiés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2FA (double authentification) par OTP/TOTP mentionné. Pas de gestion de sessions multiples. Pas de déconnexion automatique après inactivité médicale</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2FA obligatoire pour médecins et admins (TOTP via app). Déconnexion automatique après 15 min d'inactivité. Gestion des sessions actives (voir et révoquer). Logs de connexion accessibles au médecin.</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Conformité réglementaire</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Présence au Cameroun avec modèle économique validé. Soutenu par Orange Ventures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mention explicite de conformité avec le Ministère de la Santé Publique du Cameroun. Pas d'agrément officiel publié. Conformité RGPD non certifiée</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Obtenir l'agrément du Ministère de la Santé Publique du Cameroun avant lancement. Conformité RGPD documentée et certifiée. Audit de sécurité annuel par tiers indépendant. Afficher les certifications dans l'app.</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Audit &amp; traçabilité</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Historique des consultations disponible dans l'app</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d'audit log technique visible. Pas de traçabilité des accès aux dossiers médicaux. Impossible de savoir qui a consulté quoi et quand</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Audit log complet : chaque accès à un dossier médical tracé (qui, quand, depuis quelle IP). Journal d'activité accessible au patient sur son propre dossier. Alertes automatiques en cas d'accès suspect.</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9026"/>
            <w:gridSpan w:val="5"/>
            <w:shd w:fill="C05621" w:val="clear"/>
            <w:tcMar>
              <w:top w:type="dxa" w:w="80"/>
              <w:left w:type="dxa" w:w="200"/>
              <w:bottom w:type="dxa" w:w="80"/>
              <w:right w:type="dxa" w:w="120"/>
            </w:tcMar>
          </w:tcPr>
          <w:p>
            <w:r>
              <w:rPr>
                <w:rFonts w:ascii="Arial" w:cs="Arial" w:eastAsia="Arial" w:hAnsi="Arial"/>
                <w:b/>
                <w:bCs/>
                <w:color w:val="FFFFFF"/>
                <w:sz w:val="20"/>
                <w:szCs w:val="20"/>
              </w:rPr>
              <w:t xml:space="preserve">  ▶  4. PERFORMANCE, FLUIDITÉ &amp; HAUTE DISPONIBILITÉ</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Performance basse connexion</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Bascule audio/vidéo selon le réseau. App Android légère disponible</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mode offline documenté. Pas de PWA. Pas de compression progressive documentée. Crashes signalés sur certains appareils</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Mode dégradé offline : consultation des données en cache, RDV pris hors ligne synchronisés à la reconnexion. PWA pour web. Compression progressive des médias. Objectif : 0 crash critique en production.</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Disponibilité du service</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Service actif depuis 2020, mises à jour fréquentes (18 versions en 2 ans)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SLA (Service Level Agreement) publié. Pas de page de statut publique. Aucune communication sur les maintenances planifiées ou incidents</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SLA 99.9% de disponibilité (max 8.7h d'arrêt/an). Page de statut publique (status.nere.cm). Notifications push en cas de maintenance planifiée. Architecture haute disponibilité (Nginx LB + PostgreSQL réplication).</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Scalabilité</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Levée de fonds $5.25M. Ambition d'expansion dans 10 pays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Architecture non documentée. Aucune mention de load balancing ou de stratégie de mise à l'échelle. Risque d'indisponibilité en cas de pic de trafic</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Architecture microservices containerisée (Docker + Kubernetes). Auto-scaling horizontal sur FastAPI. Base de données en lecture répliquée. Tests de charge réguliers (objectif : 10 000 utilisateurs simultanés).</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Monitoring &amp; alertes</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Corrections de bugs régulières suite aux retours utilisateurs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monitoring proactif documenté. Réaction aux bugs via les retours utilisateurs (réactif) plutôt que détection proactive</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Stack Prometheus + Grafana + Alertmanager. Alertes automatiques si CPU &gt; 85%, latence &gt; 2s, taux d'erreur &gt; 1%. Dashboard de santé de la plateforme visible par l'équipe technique en temps réel.</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9026"/>
            <w:gridSpan w:val="5"/>
            <w:shd w:fill="1A6B3C" w:val="clear"/>
            <w:tcMar>
              <w:top w:type="dxa" w:w="80"/>
              <w:left w:type="dxa" w:w="200"/>
              <w:bottom w:type="dxa" w:w="80"/>
              <w:right w:type="dxa" w:w="120"/>
            </w:tcMar>
          </w:tcPr>
          <w:p>
            <w:r>
              <w:rPr>
                <w:rFonts w:ascii="Arial" w:cs="Arial" w:eastAsia="Arial" w:hAnsi="Arial"/>
                <w:b/>
                <w:bCs/>
                <w:color w:val="FFFFFF"/>
                <w:sz w:val="20"/>
                <w:szCs w:val="20"/>
              </w:rPr>
              <w:t xml:space="preserve">  ▶  5. PAIEMENT, ASSURANCE &amp; MODÈLE ÉCONOMIQUE</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Moyens de paiement</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Mobile Money (MTN/Orange), cartes bancaires, paiement par assurance. Codes promo disponibles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portefeuille numérique interne. Pas de paiement fractionné. Pas de remboursement automatisé en cas d'annulation. Interface de paiement perfectible</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Intégration CinetPay (Mobile Money + cartes) + Stripe (international). Portefeuille Néré avec solde rechargeable. Paiement fractionné pour consultations spécialisées. Remboursement automatique en &lt; 24h en cas d'annulation médecin.</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Intégration assurance</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Partenariats avec WTW, SUNU, ACTIVA, SANLAM, PRUDENTIAL et autres. Claim via l'app</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Processus de réclamation assurance manuel et complexe selon les retours. Pas de vérification automatique des droits en temps réel</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Vérification automatique des droits d'assurance à la prise de RDV. Tiers payant automatique si couverture détectée. Tableau de bord assurance pour les structures partenaires. API ouverte pour intégration mutuelles locales.</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Transparence tarifaire</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Tarifs consultations disponibles avant prise de RDV</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Grille tarifaire non centralisée. Frais supplémentaires non toujours bien communiqués. Pas d'estimation du reste à charge avant consultation</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Grille tarifaire complète et visible avant tout acte. Estimation du reste à charge selon assurance. Reçu détaillé envoyé automatiquement après chaque paiement. Historique financier complet dans l'espace patient.</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9026"/>
            <w:gridSpan w:val="5"/>
            <w:shd w:fill="0D7377" w:val="clear"/>
            <w:tcMar>
              <w:top w:type="dxa" w:w="80"/>
              <w:left w:type="dxa" w:w="200"/>
              <w:bottom w:type="dxa" w:w="80"/>
              <w:right w:type="dxa" w:w="120"/>
            </w:tcMar>
          </w:tcPr>
          <w:p>
            <w:r>
              <w:rPr>
                <w:rFonts w:ascii="Arial" w:cs="Arial" w:eastAsia="Arial" w:hAnsi="Arial"/>
                <w:b/>
                <w:bCs/>
                <w:color w:val="FFFFFF"/>
                <w:sz w:val="20"/>
                <w:szCs w:val="20"/>
              </w:rPr>
              <w:t xml:space="preserve">  ▶  6. SERVICES COMPLÉMENTAIRES &amp; ÉCOSYSTÈME</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Livraison médicaments</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Service de livraison à domicile disponible. Partenariats pharmacies avec code prescription</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Couverture géographique limitée. Délais de livraison non précisés. Pas de suivi de livraison en temps réel dans l'app</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Partenariats pharmacies géolocalisées avec stock en temps réel. Suivi de livraison en temps réel (type Uber Eats médical). Estimation de délai avant commande. À prévoir en V2 pour Néré.</w:t>
            </w:r>
          </w:p>
        </w:tc>
        <w:tc>
          <w:tcPr>
            <w:tcW w:type="dxa" w:w="926"/>
            <w:shd w:fill="5B2D8E"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V2</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Laboratoires médicaux</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Annuaire de labos. Technicien à domicile pour prélèvements. Résultats d'analyses dans l'app</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d'intégration directe des résultats depuis les systèmes informatiques des labos. Résultats probablement uploadés manuellement</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Intégration API directe avec les laboratoires partenaires pour réception automatique des résultats. Résultats chiffrés et signés numériquement. Alerte patient dès disponibilité. Commentaire médecin joint au résultat.</w:t>
            </w:r>
          </w:p>
        </w:tc>
        <w:tc>
          <w:tcPr>
            <w:tcW w:type="dxa" w:w="926"/>
            <w:shd w:fill="5B2D8E"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V2</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Réseau social santé</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Forum interactif géré par des médecins. Système de likes/emojis. Traduction automatique des posts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Forum peu modéré automatiquement. Pas de détection de contenu médical dangereux. Risque de désinformation médicale. Pas d'anonymisation des questions sensibles</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Forum avec modération IA automatique (détection désinformation). Anonymat optionnel pour questions sensibles (santé mentale, IST...). Système de vérification des médecins répondants. Contenu certifié par comité médical.</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Notifications &amp; rappels</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Notifications push disponibles. Rappels de rendez-vous envoyés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rappels SMS pour les utilisateurs sans smartphone récent. Pas de rappels pour renouvellement d'ordonnances. Notifications non personnalisables</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Rappels multicanaux : push + SMS + WhatsApp. Rappels intelligents : renouvellement ordonnances, suivi maladies chroniques, prochains RDV. Préférences de notification personnalisables. Rappels vaccinaux programmables.</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9026"/>
            <w:gridSpan w:val="5"/>
            <w:shd w:fill="0D2B5E" w:val="clear"/>
            <w:tcMar>
              <w:top w:type="dxa" w:w="80"/>
              <w:left w:type="dxa" w:w="200"/>
              <w:bottom w:type="dxa" w:w="80"/>
              <w:right w:type="dxa" w:w="120"/>
            </w:tcMar>
          </w:tcPr>
          <w:p>
            <w:r>
              <w:rPr>
                <w:rFonts w:ascii="Arial" w:cs="Arial" w:eastAsia="Arial" w:hAnsi="Arial"/>
                <w:b/>
                <w:bCs/>
                <w:color w:val="FFFFFF"/>
                <w:sz w:val="20"/>
                <w:szCs w:val="20"/>
              </w:rPr>
              <w:t xml:space="preserve">  ▶  7. STANDARDS MONDIAUX — NIVEAU DOCTOLIB &amp; QARE</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Dossier Médical Partagé</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Profil patient basique disponible</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de DMP structuré ni interopérable. Données siloées dans Waspito sans portabilité</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DME au format HL7/FHIR (standard mondial). Exportable par le patient à tout moment. Partage sécurisé entre médecins avec consentement explicite. Prêt pour intégration future avec systèmes nationaux de santé.</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Téléconsultation 7j/7</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Service disponible mais plages horaires non précisées</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Disponibilité 24/7 non garantie. Pas de garde médicale de nuit documentée. Délai d'attente avant consultation non affiché</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Objectif : médecins disponibles 7j/7 de 6h à 23h minimum (standard Qare). Temps d'attente affiché en temps réel. Médecin de garde pour urgences non vitales. Orientation automatique vers les urgences si cas critique.</w:t>
            </w:r>
          </w:p>
        </w:tc>
        <w:tc>
          <w:tcPr>
            <w:tcW w:type="dxa" w:w="926"/>
            <w:shd w:fill="C05621"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Prescription électronique sécurisée</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PDF envoyé par email, code pharmacie</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PDF non signé électroniquement. Falsifiable. Non interopérable avec les systèmes de pharmacies informatisés</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Ordonnance électronique avec signature numérique qualifiée du médecin (standard Doctolib). QR Code unique anti-falsification. Validité temporelle paramétrable. Envoi direct au système informatique des pharmacies partenaires.</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Agrément &amp; certification</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Validé par Emmanuel Macron, soutenu par Orange Ventures, Health54</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Pas d'agrément officiel Ministère de la Santé publié. Pas de certification ISO 27001 ou HDS (Hébergeur Données de Santé) mentionnée</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Obtenir l'agrément Ministère Santé Cameroun. Viser la certification ISO 27001 (sécurité) et un équivalent HDS africain. Afficher les certifications dans l'app et sur le site. Audit annuel par cabinet indépendant.</w:t>
            </w:r>
          </w:p>
        </w:tc>
        <w:tc>
          <w:tcPr>
            <w:tcW w:type="dxa" w:w="926"/>
            <w:shd w:fill="B91C1C"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V1</w:t>
            </w:r>
          </w:p>
        </w:tc>
      </w:tr>
      <w:tr>
        <w:tc>
          <w:tcPr>
            <w:tcW w:type="dxa" w:w="1900"/>
            <w:shd w:fill="D6E4F7" w:val="clear"/>
            <w:tcMar>
              <w:top w:type="dxa" w:w="80"/>
              <w:left w:type="dxa" w:w="120"/>
              <w:bottom w:type="dxa" w:w="80"/>
              <w:right w:type="dxa" w:w="120"/>
            </w:tcMar>
            <w:vAlign w:val="center"/>
          </w:tcPr>
          <w:p>
            <w:pPr>
              <w:jc w:val="center"/>
            </w:pPr>
            <w:r>
              <w:rPr>
                <w:rFonts w:ascii="Arial" w:cs="Arial" w:eastAsia="Arial" w:hAnsi="Arial"/>
                <w:b/>
                <w:bCs/>
                <w:color w:val="0D2B5E"/>
                <w:sz w:val="19"/>
                <w:szCs w:val="19"/>
              </w:rPr>
              <w:t xml:space="preserve">Continuité &amp; suivi patient</w:t>
            </w:r>
          </w:p>
        </w:tc>
        <w:tc>
          <w:tcPr>
            <w:tcW w:type="dxa" w:w="1700"/>
            <w:shd w:fill="D4EDDA" w:val="clear"/>
            <w:tcMar>
              <w:top w:type="dxa" w:w="80"/>
              <w:left w:type="dxa" w:w="120"/>
              <w:bottom w:type="dxa" w:w="80"/>
              <w:right w:type="dxa" w:w="120"/>
            </w:tcMar>
          </w:tcPr>
          <w:p>
            <w:pPr>
              <w:jc w:val="both"/>
            </w:pPr>
            <w:r>
              <w:rPr>
                <w:rFonts w:ascii="Arial" w:cs="Arial" w:eastAsia="Arial" w:hAnsi="Arial"/>
                <w:color w:val="1A6B3C"/>
                <w:sz w:val="18"/>
                <w:szCs w:val="18"/>
              </w:rPr>
              <w:t xml:space="preserve">Chat post-consultation disponible 3 semaines après la visite</w:t>
            </w:r>
          </w:p>
        </w:tc>
        <w:tc>
          <w:tcPr>
            <w:tcW w:type="dxa" w:w="1700"/>
            <w:shd w:fill="FDECEA" w:val="clear"/>
            <w:tcMar>
              <w:top w:type="dxa" w:w="80"/>
              <w:left w:type="dxa" w:w="120"/>
              <w:bottom w:type="dxa" w:w="80"/>
              <w:right w:type="dxa" w:w="120"/>
            </w:tcMar>
          </w:tcPr>
          <w:p>
            <w:pPr>
              <w:jc w:val="both"/>
            </w:pPr>
            <w:r>
              <w:rPr>
                <w:rFonts w:ascii="Arial" w:cs="Arial" w:eastAsia="Arial" w:hAnsi="Arial"/>
                <w:color w:val="B91C1C"/>
                <w:sz w:val="18"/>
                <w:szCs w:val="18"/>
              </w:rPr>
              <w:t xml:space="preserve">Suivi des maladies chroniques non structuré. Pas d'outils de télésurveilllance. Pas de programme de suivi personnalisé</w:t>
            </w:r>
          </w:p>
        </w:tc>
        <w:tc>
          <w:tcPr>
            <w:tcW w:type="dxa" w:w="2800"/>
            <w:shd w:fill="FEF9E7" w:val="clear"/>
            <w:tcMar>
              <w:top w:type="dxa" w:w="80"/>
              <w:left w:type="dxa" w:w="120"/>
              <w:bottom w:type="dxa" w:w="80"/>
              <w:right w:type="dxa" w:w="120"/>
            </w:tcMar>
          </w:tcPr>
          <w:p>
            <w:pPr>
              <w:jc w:val="both"/>
            </w:pPr>
            <w:r>
              <w:rPr>
                <w:rFonts w:ascii="Arial" w:cs="Arial" w:eastAsia="Arial" w:hAnsi="Arial"/>
                <w:color w:val="92600A"/>
                <w:sz w:val="18"/>
                <w:szCs w:val="18"/>
              </w:rPr>
              <w:t xml:space="preserve">Programmes de suivi personnalisés pour maladies chroniques (diabète, HTA, asthme...). Alertes paramétrables selon indicateurs de santé. Compte-rendus de consultation structurés envoyés automatiquement au patient et médecin traitant.</w:t>
            </w:r>
          </w:p>
        </w:tc>
        <w:tc>
          <w:tcPr>
            <w:tcW w:type="dxa" w:w="926"/>
            <w:shd w:fill="5B2D8E" w:val="clear"/>
            <w:tcMar>
              <w:top w:type="dxa" w:w="80"/>
              <w:left w:type="dxa" w:w="60"/>
              <w:bottom w:type="dxa" w:w="80"/>
              <w:right w:type="dxa" w:w="60"/>
            </w:tcMar>
            <w:vAlign w:val="center"/>
          </w:tcPr>
          <w:p>
            <w:pPr>
              <w:jc w:val="center"/>
            </w:pPr>
            <w:r>
              <w:rPr>
                <w:rFonts w:ascii="Arial" w:cs="Arial" w:eastAsia="Arial" w:hAnsi="Arial"/>
                <w:b/>
                <w:bCs/>
                <w:color w:val="FFFFFF"/>
                <w:sz w:val="18"/>
                <w:szCs w:val="18"/>
              </w:rPr>
              <w:t xml:space="preserve">🟡 V2</w:t>
            </w:r>
          </w:p>
        </w:tc>
      </w:tr>
    </w:tbl>
    <w:p>
      <w:pPr>
        <w:spacing w:after="240"/>
      </w:pPr>
      <w:r>
        <w:t xml:space="preserve"/>
      </w:r>
    </w:p>
    <w:p>
      <w:r>
        <w:br w:type="page"/>
      </w:r>
    </w:p>
    <w:p>
      <w:pPr>
        <w:shd w:fill="0D2B5E" w:val="clear"/>
        <w:spacing w:before="200" w:after="160"/>
      </w:pPr>
      <w:r>
        <w:rPr>
          <w:rFonts w:ascii="Arial" w:cs="Arial" w:eastAsia="Arial" w:hAnsi="Arial"/>
          <w:b/>
          <w:bCs/>
          <w:color w:val="FFFFFF"/>
          <w:sz w:val="28"/>
          <w:szCs w:val="28"/>
        </w:rPr>
        <w:t xml:space="preserve">   SECTION 3 — SYNTHÈSE : LES 10 AXES DE SUPÉRIORITÉ DE NÉRÉ SUR WASPITO</w:t>
      </w:r>
    </w:p>
    <w:p>
      <w:pPr>
        <w:spacing w:after="160"/>
      </w:pPr>
      <w:r>
        <w:t xml:space="preserve"/>
      </w:r>
    </w:p>
    <w:tbl>
      <w:tblPr>
        <w:tblW w:type="dxa" w:w="9026"/>
        <w:tblBorders>
          <w:top w:val="single" w:color="D1D5DB" w:sz="3"/>
          <w:left w:val="single" w:color="D1D5DB" w:sz="3"/>
          <w:bottom w:val="single" w:color="D1D5DB" w:sz="3"/>
          <w:right w:val="single" w:color="D1D5DB" w:sz="3"/>
          <w:insideH w:val="single" w:color="auto" w:sz="4"/>
          <w:insideV w:val="single" w:color="auto" w:sz="4"/>
        </w:tblBorders>
      </w:tblPr>
      <w:tblGrid>
        <w:gridCol w:w="3000"/>
        <w:gridCol w:w="3013"/>
        <w:gridCol w:w="3013"/>
      </w:tblGrid>
      <w:tr>
        <w:trPr>
          <w:tblHeader/>
        </w:trPr>
        <w:tc>
          <w:tcPr>
            <w:tcW w:type="dxa" w:w="3000"/>
            <w:shd w:fill="0D2B5E" w:val="clear"/>
            <w:tcMar>
              <w:top w:type="dxa" w:w="90"/>
              <w:left w:type="dxa" w:w="130"/>
              <w:bottom w:type="dxa" w:w="90"/>
              <w:right w:type="dxa" w:w="130"/>
            </w:tcMar>
            <w:vAlign w:val="center"/>
          </w:tcPr>
          <w:p>
            <w:pPr>
              <w:jc w:val="center"/>
            </w:pPr>
            <w:r>
              <w:rPr>
                <w:rFonts w:ascii="Arial" w:cs="Arial" w:eastAsia="Arial" w:hAnsi="Arial"/>
                <w:b/>
                <w:bCs/>
                <w:color w:val="FFFFFF"/>
                <w:sz w:val="21"/>
                <w:szCs w:val="21"/>
              </w:rPr>
              <w:t xml:space="preserve">Domaine</w:t>
            </w:r>
          </w:p>
        </w:tc>
        <w:tc>
          <w:tcPr>
            <w:tcW w:type="dxa" w:w="3013"/>
            <w:shd w:fill="0D2B5E" w:val="clear"/>
            <w:tcMar>
              <w:top w:type="dxa" w:w="90"/>
              <w:left w:type="dxa" w:w="130"/>
              <w:bottom w:type="dxa" w:w="90"/>
              <w:right w:type="dxa" w:w="130"/>
            </w:tcMar>
            <w:vAlign w:val="center"/>
          </w:tcPr>
          <w:p>
            <w:pPr>
              <w:jc w:val="center"/>
            </w:pPr>
            <w:r>
              <w:rPr>
                <w:rFonts w:ascii="Arial" w:cs="Arial" w:eastAsia="Arial" w:hAnsi="Arial"/>
                <w:b/>
                <w:bCs/>
                <w:color w:val="FFFFFF"/>
                <w:sz w:val="21"/>
                <w:szCs w:val="21"/>
              </w:rPr>
              <w:t xml:space="preserve">⚠️ Waspito — Lacunes</w:t>
            </w:r>
          </w:p>
        </w:tc>
        <w:tc>
          <w:tcPr>
            <w:tcW w:type="dxa" w:w="3013"/>
            <w:shd w:fill="0D2B5E" w:val="clear"/>
            <w:tcMar>
              <w:top w:type="dxa" w:w="90"/>
              <w:left w:type="dxa" w:w="130"/>
              <w:bottom w:type="dxa" w:w="90"/>
              <w:right w:type="dxa" w:w="130"/>
            </w:tcMar>
            <w:vAlign w:val="center"/>
          </w:tcPr>
          <w:p>
            <w:pPr>
              <w:jc w:val="center"/>
            </w:pPr>
            <w:r>
              <w:rPr>
                <w:rFonts w:ascii="Arial" w:cs="Arial" w:eastAsia="Arial" w:hAnsi="Arial"/>
                <w:b/>
                <w:bCs/>
                <w:color w:val="FFFFFF"/>
                <w:sz w:val="21"/>
                <w:szCs w:val="21"/>
              </w:rPr>
              <w:t xml:space="preserve">🎯 Néré — Objectif supérieur</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UX &amp; Interface</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Design incohérent web/mobile. Formulaire d'inscription trop lourd. Bugs signalés sur certains appareils</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Design System unifié Figma. Onboarding en 3 étapes. 0 crash critique. WCAG 2.1 AA.</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Dossier médical</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Pas de DME structuré. Données siloées. Aucune interopérabilité</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DME complet au format HL7/FHIR. Exportable. Partageable entre médecins avec consentement.</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IA médicale</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Forum médecin réactif uniquement. Aucun pré-triage automatisé</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Chatbot IA de pré-triage 24/7. Orientation automatique. Validé par comité médical.</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Sécurité des données</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Politique de confidentialité vague. Pas de DPO visible. Pas de chiffrement au repos documenté</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AES-256 au repos. TLS 1.3. DPO nommé. Audit annuel. Badge de conformité visible.</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Ordonnances</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PDF non signé, falsifiable. Non interopérable avec pharmacies</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Ordonnance signée électroniquement. QR Code anti-falsification. Envoi direct aux pharmacies.</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Disponibilité</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Pas de SLA publié. Pas de page de statut. Bugs corrigés de manière réactive</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SLA 99.9%. Page statut publique. Monitoring proactif Prometheus/Grafana.</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Paiement</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Processus de réclamation assurance manuel et complexe</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CinetPay + Stripe. Portefeuille Néré. Tiers payant automatique. Remboursement &lt; 24h.</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Conformité réglementaire</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Pas d'agrément Ministère Santé Cameroun publié. Pas de certification ISO</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Agrément Ministère Santé Cameroun. ISO 27001 cible. Certifications affichées.</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Accessibilité basse connexion</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Pas de mode offline documenté. Crashes sur certains appareils</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Mode offline (cache + sync). PWA. Skeleton screens. Objectif &lt; 2s sur 3G.</w:t>
            </w:r>
          </w:p>
        </w:tc>
      </w:tr>
      <w:tr>
        <w:tc>
          <w:tcPr>
            <w:tcW w:type="dxa" w:w="3000"/>
            <w:shd w:fill="D6E4F7" w:val="clear"/>
            <w:tcMar>
              <w:top w:type="dxa" w:w="80"/>
              <w:left w:type="dxa" w:w="130"/>
              <w:bottom w:type="dxa" w:w="80"/>
              <w:right w:type="dxa" w:w="130"/>
            </w:tcMar>
          </w:tcPr>
          <w:p>
            <w:r>
              <w:rPr>
                <w:rFonts w:ascii="Arial" w:cs="Arial" w:eastAsia="Arial" w:hAnsi="Arial"/>
                <w:b/>
                <w:bCs/>
                <w:color w:val="0D2B5E"/>
                <w:sz w:val="20"/>
                <w:szCs w:val="20"/>
              </w:rPr>
              <w:t xml:space="preserve">Continuité des soins</w:t>
            </w:r>
          </w:p>
        </w:tc>
        <w:tc>
          <w:tcPr>
            <w:tcW w:type="dxa" w:w="3013"/>
            <w:shd w:fill="FDECEA" w:val="clear"/>
            <w:tcMar>
              <w:top w:type="dxa" w:w="80"/>
              <w:left w:type="dxa" w:w="130"/>
              <w:bottom w:type="dxa" w:w="80"/>
              <w:right w:type="dxa" w:w="130"/>
            </w:tcMar>
          </w:tcPr>
          <w:p>
            <w:r>
              <w:rPr>
                <w:rFonts w:ascii="Arial" w:cs="Arial" w:eastAsia="Arial" w:hAnsi="Arial"/>
                <w:color w:val="B91C1C"/>
                <w:sz w:val="19"/>
                <w:szCs w:val="19"/>
              </w:rPr>
              <w:t xml:space="preserve">Chat post-consultation limité à 3 semaines. Pas de suivi chronique structuré</w:t>
            </w:r>
          </w:p>
        </w:tc>
        <w:tc>
          <w:tcPr>
            <w:tcW w:type="dxa" w:w="3013"/>
            <w:shd w:fill="D4EDDA" w:val="clear"/>
            <w:tcMar>
              <w:top w:type="dxa" w:w="80"/>
              <w:left w:type="dxa" w:w="130"/>
              <w:bottom w:type="dxa" w:w="80"/>
              <w:right w:type="dxa" w:w="130"/>
            </w:tcMar>
          </w:tcPr>
          <w:p>
            <w:r>
              <w:rPr>
                <w:rFonts w:ascii="Arial" w:cs="Arial" w:eastAsia="Arial" w:hAnsi="Arial"/>
                <w:color w:val="1A6B3C"/>
                <w:sz w:val="19"/>
                <w:szCs w:val="19"/>
              </w:rPr>
              <w:t xml:space="preserve">Programmes de suivi maladies chroniques. Alertes paramétrables. Comptes-rendus automatiques.</w:t>
            </w:r>
          </w:p>
        </w:tc>
      </w:tr>
    </w:tbl>
    <w:p>
      <w:pPr>
        <w:spacing w:after="240"/>
      </w:pPr>
      <w:r>
        <w:t xml:space="preserve"/>
      </w:r>
    </w:p>
    <w:p>
      <w:r>
        <w:br w:type="page"/>
      </w:r>
    </w:p>
    <w:p>
      <w:pPr>
        <w:shd w:fill="0D2B5E" w:val="clear"/>
        <w:spacing w:before="200" w:after="160"/>
      </w:pPr>
      <w:r>
        <w:rPr>
          <w:rFonts w:ascii="Arial" w:cs="Arial" w:eastAsia="Arial" w:hAnsi="Arial"/>
          <w:b/>
          <w:bCs/>
          <w:color w:val="FFFFFF"/>
          <w:sz w:val="28"/>
          <w:szCs w:val="28"/>
        </w:rPr>
        <w:t xml:space="preserve">   SECTION 4 — FEUILLE DE ROUTE STRATÉGIQUE POUR DÉPASSER WASPITO</w:t>
      </w:r>
    </w:p>
    <w:p>
      <w:pPr>
        <w:spacing w:after="160"/>
      </w:pPr>
      <w:r>
        <w:t xml:space="preserve"/>
      </w:r>
    </w:p>
    <w:p>
      <w:pPr>
        <w:pBdr>
          <w:bottom w:val="single" w:color="1F5C99" w:sz="4" w:space="3"/>
        </w:pBdr>
        <w:spacing w:before="200" w:after="120"/>
      </w:pPr>
      <w:r>
        <w:rPr>
          <w:rFonts w:ascii="Arial" w:cs="Arial" w:eastAsia="Arial" w:hAnsi="Arial"/>
          <w:b/>
          <w:bCs/>
          <w:color w:val="B91C1C"/>
          <w:sz w:val="24"/>
          <w:szCs w:val="24"/>
        </w:rPr>
        <w:t xml:space="preserve">Version 1 (V1) — Lancement — Priorités Critiques</w:t>
      </w:r>
    </w:p>
    <w:p>
      <w:pPr>
        <w:spacing w:after="100" w:line="268"/>
        <w:jc w:val="both"/>
      </w:pPr>
      <w:r>
        <w:rPr>
          <w:rFonts w:ascii="Arial" w:cs="Arial" w:eastAsia="Arial" w:hAnsi="Arial"/>
          <w:color w:val="111827"/>
          <w:sz w:val="20"/>
          <w:szCs w:val="20"/>
        </w:rPr>
        <w:t xml:space="preserve">Les éléments suivants sont non négociables pour le lancement de Néré. Ils constituent le socle minimum qui permettra à Néré d'être supérieur à Waspito dès le jour 1 :</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Design System unifié (Figma) avec composants React et Flutter synchronisés</w:t>
      </w:r>
    </w:p>
    <w:p>
      <w:pPr>
        <w:pStyle w:val="ListParagraph"/>
        <w:numPr>
          <w:ilvl w:val="0"/>
          <w:numId w:val="2"/>
        </w:numPr>
        <w:spacing w:after="80"/>
      </w:pPr>
      <w:r>
        <w:rPr>
          <w:rFonts w:ascii="Arial" w:cs="Arial" w:eastAsia="Arial" w:hAnsi="Arial"/>
          <w:color w:val="111827"/>
          <w:sz w:val="20"/>
          <w:szCs w:val="20"/>
        </w:rPr>
        <w:t xml:space="preserve">Authentification sécurisée : JWT + OAuth2 + 2FA obligatoire pour les médecins</w:t>
      </w:r>
    </w:p>
    <w:p>
      <w:pPr>
        <w:pStyle w:val="ListParagraph"/>
        <w:numPr>
          <w:ilvl w:val="0"/>
          <w:numId w:val="2"/>
        </w:numPr>
        <w:spacing w:after="80"/>
      </w:pPr>
      <w:r>
        <w:rPr>
          <w:rFonts w:ascii="Arial" w:cs="Arial" w:eastAsia="Arial" w:hAnsi="Arial"/>
          <w:color w:val="111827"/>
          <w:sz w:val="20"/>
          <w:szCs w:val="20"/>
        </w:rPr>
        <w:t xml:space="preserve">Chiffrement AES-256 au repos + TLS 1.3 en transit pour toutes les données médicales</w:t>
      </w:r>
    </w:p>
    <w:p>
      <w:pPr>
        <w:pStyle w:val="ListParagraph"/>
        <w:numPr>
          <w:ilvl w:val="0"/>
          <w:numId w:val="2"/>
        </w:numPr>
        <w:spacing w:after="80"/>
      </w:pPr>
      <w:r>
        <w:rPr>
          <w:rFonts w:ascii="Arial" w:cs="Arial" w:eastAsia="Arial" w:hAnsi="Arial"/>
          <w:color w:val="111827"/>
          <w:sz w:val="20"/>
          <w:szCs w:val="20"/>
        </w:rPr>
        <w:t xml:space="preserve">Téléconsultation vidéo adaptative (qualité auto selon débit) avec salle d'attente virtuelle</w:t>
      </w:r>
    </w:p>
    <w:p>
      <w:pPr>
        <w:pStyle w:val="ListParagraph"/>
        <w:numPr>
          <w:ilvl w:val="0"/>
          <w:numId w:val="2"/>
        </w:numPr>
        <w:spacing w:after="80"/>
      </w:pPr>
      <w:r>
        <w:rPr>
          <w:rFonts w:ascii="Arial" w:cs="Arial" w:eastAsia="Arial" w:hAnsi="Arial"/>
          <w:color w:val="111827"/>
          <w:sz w:val="20"/>
          <w:szCs w:val="20"/>
        </w:rPr>
        <w:t xml:space="preserve">Ordonnances signées électroniquement avec QR Code anti-falsification</w:t>
      </w:r>
    </w:p>
    <w:p>
      <w:pPr>
        <w:pStyle w:val="ListParagraph"/>
        <w:numPr>
          <w:ilvl w:val="0"/>
          <w:numId w:val="2"/>
        </w:numPr>
        <w:spacing w:after="80"/>
      </w:pPr>
      <w:r>
        <w:rPr>
          <w:rFonts w:ascii="Arial" w:cs="Arial" w:eastAsia="Arial" w:hAnsi="Arial"/>
          <w:color w:val="111827"/>
          <w:sz w:val="20"/>
          <w:szCs w:val="20"/>
        </w:rPr>
        <w:t xml:space="preserve">Chatbot IA de pré-triage 24/7 validé par comité médical</w:t>
      </w:r>
    </w:p>
    <w:p>
      <w:pPr>
        <w:pStyle w:val="ListParagraph"/>
        <w:numPr>
          <w:ilvl w:val="0"/>
          <w:numId w:val="2"/>
        </w:numPr>
        <w:spacing w:after="80"/>
      </w:pPr>
      <w:r>
        <w:rPr>
          <w:rFonts w:ascii="Arial" w:cs="Arial" w:eastAsia="Arial" w:hAnsi="Arial"/>
          <w:color w:val="111827"/>
          <w:sz w:val="20"/>
          <w:szCs w:val="20"/>
        </w:rPr>
        <w:t xml:space="preserve">Paiement intégré : CinetPay (Mobile Money) + Stripe (international)</w:t>
      </w:r>
    </w:p>
    <w:p>
      <w:pPr>
        <w:pStyle w:val="ListParagraph"/>
        <w:numPr>
          <w:ilvl w:val="0"/>
          <w:numId w:val="2"/>
        </w:numPr>
        <w:spacing w:after="80"/>
      </w:pPr>
      <w:r>
        <w:rPr>
          <w:rFonts w:ascii="Arial" w:cs="Arial" w:eastAsia="Arial" w:hAnsi="Arial"/>
          <w:color w:val="111827"/>
          <w:sz w:val="20"/>
          <w:szCs w:val="20"/>
        </w:rPr>
        <w:t xml:space="preserve">Audit log complet de tous les accès aux dossiers médicaux</w:t>
      </w:r>
    </w:p>
    <w:p>
      <w:pPr>
        <w:pStyle w:val="ListParagraph"/>
        <w:numPr>
          <w:ilvl w:val="0"/>
          <w:numId w:val="2"/>
        </w:numPr>
        <w:spacing w:after="80"/>
      </w:pPr>
      <w:r>
        <w:rPr>
          <w:rFonts w:ascii="Arial" w:cs="Arial" w:eastAsia="Arial" w:hAnsi="Arial"/>
          <w:color w:val="111827"/>
          <w:sz w:val="20"/>
          <w:szCs w:val="20"/>
        </w:rPr>
        <w:t xml:space="preserve">Mode dégradé offline avec synchronisation à la reconnexion</w:t>
      </w:r>
    </w:p>
    <w:p>
      <w:pPr>
        <w:pStyle w:val="ListParagraph"/>
        <w:numPr>
          <w:ilvl w:val="0"/>
          <w:numId w:val="2"/>
        </w:numPr>
        <w:spacing w:after="80"/>
      </w:pPr>
      <w:r>
        <w:rPr>
          <w:rFonts w:ascii="Arial" w:cs="Arial" w:eastAsia="Arial" w:hAnsi="Arial"/>
          <w:color w:val="111827"/>
          <w:sz w:val="20"/>
          <w:szCs w:val="20"/>
        </w:rPr>
        <w:t xml:space="preserve">Page de statut publique et SLA 99.9% documenté</w:t>
      </w:r>
    </w:p>
    <w:p>
      <w:pPr>
        <w:spacing w:after="160"/>
      </w:pPr>
      <w:r>
        <w:t xml:space="preserve"/>
      </w:r>
    </w:p>
    <w:p>
      <w:pPr>
        <w:pBdr>
          <w:bottom w:val="single" w:color="1F5C99" w:sz="4" w:space="3"/>
        </w:pBdr>
        <w:spacing w:before="200" w:after="120"/>
      </w:pPr>
      <w:r>
        <w:rPr>
          <w:rFonts w:ascii="Arial" w:cs="Arial" w:eastAsia="Arial" w:hAnsi="Arial"/>
          <w:b/>
          <w:bCs/>
          <w:color w:val="0D7377"/>
          <w:sz w:val="24"/>
          <w:szCs w:val="24"/>
        </w:rPr>
        <w:t xml:space="preserve">Version 2 (V2) — Évolution — Égaler les standards Doctolib/Qare</w:t>
      </w:r>
    </w:p>
    <w:p>
      <w:pPr>
        <w:spacing w:after="100" w:line="268"/>
        <w:jc w:val="both"/>
      </w:pPr>
      <w:r>
        <w:rPr>
          <w:rFonts w:ascii="Arial" w:cs="Arial" w:eastAsia="Arial" w:hAnsi="Arial"/>
          <w:color w:val="111827"/>
          <w:sz w:val="20"/>
          <w:szCs w:val="20"/>
        </w:rPr>
        <w:t xml:space="preserve">Ces fonctionnalités positionneront Néré au niveau des meilleures plateformes mondiales de santé numérique :</w:t>
      </w:r>
    </w:p>
    <w:p>
      <w:pPr>
        <w:spacing w:after="80"/>
      </w:pPr>
      <w:r>
        <w:t xml:space="preserve"/>
      </w:r>
    </w:p>
    <w:p>
      <w:pPr>
        <w:pStyle w:val="ListParagraph"/>
        <w:numPr>
          <w:ilvl w:val="0"/>
          <w:numId w:val="2"/>
        </w:numPr>
        <w:spacing w:after="80"/>
      </w:pPr>
      <w:r>
        <w:rPr>
          <w:rFonts w:ascii="Arial" w:cs="Arial" w:eastAsia="Arial" w:hAnsi="Arial"/>
          <w:color w:val="111827"/>
          <w:sz w:val="20"/>
          <w:szCs w:val="20"/>
        </w:rPr>
        <w:t xml:space="preserve">Dossier Médical Électronique complet au format HL7/FHIR avec interopérabilité</w:t>
      </w:r>
    </w:p>
    <w:p>
      <w:pPr>
        <w:pStyle w:val="ListParagraph"/>
        <w:numPr>
          <w:ilvl w:val="0"/>
          <w:numId w:val="2"/>
        </w:numPr>
        <w:spacing w:after="80"/>
      </w:pPr>
      <w:r>
        <w:rPr>
          <w:rFonts w:ascii="Arial" w:cs="Arial" w:eastAsia="Arial" w:hAnsi="Arial"/>
          <w:color w:val="111827"/>
          <w:sz w:val="20"/>
          <w:szCs w:val="20"/>
        </w:rPr>
        <w:t xml:space="preserve">Module de télésurveillance pour maladies chroniques (diabète, HTA, asthme)</w:t>
      </w:r>
    </w:p>
    <w:p>
      <w:pPr>
        <w:pStyle w:val="ListParagraph"/>
        <w:numPr>
          <w:ilvl w:val="0"/>
          <w:numId w:val="2"/>
        </w:numPr>
        <w:spacing w:after="80"/>
      </w:pPr>
      <w:r>
        <w:rPr>
          <w:rFonts w:ascii="Arial" w:cs="Arial" w:eastAsia="Arial" w:hAnsi="Arial"/>
          <w:color w:val="111827"/>
          <w:sz w:val="20"/>
          <w:szCs w:val="20"/>
        </w:rPr>
        <w:t xml:space="preserve">Intégration API directe avec les laboratoires pour réception automatique des résultats</w:t>
      </w:r>
    </w:p>
    <w:p>
      <w:pPr>
        <w:pStyle w:val="ListParagraph"/>
        <w:numPr>
          <w:ilvl w:val="0"/>
          <w:numId w:val="2"/>
        </w:numPr>
        <w:spacing w:after="80"/>
      </w:pPr>
      <w:r>
        <w:rPr>
          <w:rFonts w:ascii="Arial" w:cs="Arial" w:eastAsia="Arial" w:hAnsi="Arial"/>
          <w:color w:val="111827"/>
          <w:sz w:val="20"/>
          <w:szCs w:val="20"/>
        </w:rPr>
        <w:t xml:space="preserve">Service de livraison de médicaments avec suivi en temps réel</w:t>
      </w:r>
    </w:p>
    <w:p>
      <w:pPr>
        <w:pStyle w:val="ListParagraph"/>
        <w:numPr>
          <w:ilvl w:val="0"/>
          <w:numId w:val="2"/>
        </w:numPr>
        <w:spacing w:after="80"/>
      </w:pPr>
      <w:r>
        <w:rPr>
          <w:rFonts w:ascii="Arial" w:cs="Arial" w:eastAsia="Arial" w:hAnsi="Arial"/>
          <w:color w:val="111827"/>
          <w:sz w:val="20"/>
          <w:szCs w:val="20"/>
        </w:rPr>
        <w:t xml:space="preserve">Certification ISO 27001 et agrément officiel Ministère de la Santé Cameroun</w:t>
      </w:r>
    </w:p>
    <w:p>
      <w:pPr>
        <w:pStyle w:val="ListParagraph"/>
        <w:numPr>
          <w:ilvl w:val="0"/>
          <w:numId w:val="2"/>
        </w:numPr>
        <w:spacing w:after="80"/>
      </w:pPr>
      <w:r>
        <w:rPr>
          <w:rFonts w:ascii="Arial" w:cs="Arial" w:eastAsia="Arial" w:hAnsi="Arial"/>
          <w:color w:val="111827"/>
          <w:sz w:val="20"/>
          <w:szCs w:val="20"/>
        </w:rPr>
        <w:t xml:space="preserve">Intelligence artificielle pour assistance au diagnostic (aide à la décision médicale)</w:t>
      </w:r>
    </w:p>
    <w:p>
      <w:pPr>
        <w:pStyle w:val="ListParagraph"/>
        <w:numPr>
          <w:ilvl w:val="0"/>
          <w:numId w:val="2"/>
        </w:numPr>
        <w:spacing w:after="80"/>
      </w:pPr>
      <w:r>
        <w:rPr>
          <w:rFonts w:ascii="Arial" w:cs="Arial" w:eastAsia="Arial" w:hAnsi="Arial"/>
          <w:color w:val="111827"/>
          <w:sz w:val="20"/>
          <w:szCs w:val="20"/>
        </w:rPr>
        <w:t xml:space="preserve">Expansion multilingue : langues locales camerounaises (Bassa, Ewondo, Fulfuldé)</w:t>
      </w:r>
    </w:p>
    <w:p>
      <w:pPr>
        <w:pStyle w:val="ListParagraph"/>
        <w:numPr>
          <w:ilvl w:val="0"/>
          <w:numId w:val="2"/>
        </w:numPr>
        <w:spacing w:after="80"/>
      </w:pPr>
      <w:r>
        <w:rPr>
          <w:rFonts w:ascii="Arial" w:cs="Arial" w:eastAsia="Arial" w:hAnsi="Arial"/>
          <w:color w:val="111827"/>
          <w:sz w:val="20"/>
          <w:szCs w:val="20"/>
        </w:rPr>
        <w:t xml:space="preserve">Intégration IoT : objets connectés de santé (tensiomètre, glucomètre...)</w:t>
      </w:r>
    </w:p>
    <w:p>
      <w:pPr>
        <w:spacing w:after="240"/>
      </w:pPr>
      <w:r>
        <w:t xml:space="preserve"/>
      </w:r>
    </w:p>
    <w:p>
      <w:r>
        <w:br w:type="page"/>
      </w:r>
    </w:p>
    <w:p>
      <w:pPr>
        <w:shd w:fill="0D2B5E" w:val="clear"/>
        <w:spacing w:before="200" w:after="160"/>
      </w:pPr>
      <w:r>
        <w:rPr>
          <w:rFonts w:ascii="Arial" w:cs="Arial" w:eastAsia="Arial" w:hAnsi="Arial"/>
          <w:b/>
          <w:bCs/>
          <w:color w:val="FFFFFF"/>
          <w:sz w:val="28"/>
          <w:szCs w:val="28"/>
        </w:rPr>
        <w:t xml:space="preserve">   SECTION 5 — CONCLUSION STRATÉGIQUE</w:t>
      </w:r>
    </w:p>
    <w:p>
      <w:pPr>
        <w:spacing w:after="160"/>
      </w:pPr>
      <w:r>
        <w:t xml:space="preserve"/>
      </w:r>
    </w:p>
    <w:p>
      <w:pPr>
        <w:spacing w:after="100" w:line="268"/>
        <w:jc w:val="both"/>
      </w:pPr>
      <w:r>
        <w:rPr>
          <w:rFonts w:ascii="Arial" w:cs="Arial" w:eastAsia="Arial" w:hAnsi="Arial"/>
          <w:color w:val="111827"/>
          <w:sz w:val="20"/>
          <w:szCs w:val="20"/>
        </w:rPr>
        <w:t xml:space="preserve">Waspito est un acteur pionnier et légitime de la santé numérique africaine, qui a prouvé la viabilité du modèle avec 5,25M$ levés et plus de 15 000 patients servis. Cependant, l'analyse approfondie révèle des lacunes structurelles significatives : sécurité des données insuffisamment documentée, absence de DMP structuré, conformité réglementaire non certifiée, UX perfectible, et absence d'IA médicale proactive.</w:t>
      </w:r>
    </w:p>
    <w:p>
      <w:pPr>
        <w:spacing w:after="120"/>
      </w:pPr>
      <w:r>
        <w:t xml:space="preserve"/>
      </w:r>
    </w:p>
    <w:p>
      <w:pPr>
        <w:spacing w:after="100" w:line="268"/>
        <w:jc w:val="both"/>
      </w:pPr>
      <w:r>
        <w:rPr>
          <w:rFonts w:ascii="Arial" w:cs="Arial" w:eastAsia="Arial" w:hAnsi="Arial"/>
          <w:color w:val="111827"/>
          <w:sz w:val="20"/>
          <w:szCs w:val="20"/>
        </w:rPr>
        <w:t xml:space="preserve">Néré dispose d'une opportunité stratégique unique : en combinant un ancrage local camerounais fort, une architecture technique moderne et sécurisée, et des fonctionnalités inspirées des meilleures pratiques mondiales (Doctolib, Qare), la plateforme peut devenir la référence de la santé numérique en Afrique francophone en l'espace de 18 à 24 mois.</w:t>
      </w:r>
    </w:p>
    <w:p>
      <w:pPr>
        <w:spacing w:after="120"/>
      </w:pPr>
      <w:r>
        <w:t xml:space="preserve"/>
      </w:r>
    </w:p>
    <w:p>
      <w:pPr>
        <w:spacing w:after="100" w:line="268"/>
        <w:jc w:val="both"/>
      </w:pPr>
      <w:r>
        <w:rPr>
          <w:rFonts w:ascii="Arial" w:cs="Arial" w:eastAsia="Arial" w:hAnsi="Arial"/>
          <w:color w:val="111827"/>
          <w:sz w:val="20"/>
          <w:szCs w:val="20"/>
        </w:rPr>
        <w:t xml:space="preserve">La clé du succès réside dans trois différenciateurs majeurs que Waspito ne possède pas : (1) une sécurité médicale certifiée et transparente, (2) une IA de pré-triage disponible 24/7, et (3) une architecture technique haute disponibilité capable de passer à l'échelle de tout un continent.</w:t>
      </w:r>
    </w:p>
    <w:p>
      <w:pPr>
        <w:spacing w:after="200"/>
      </w:pPr>
      <w:r>
        <w:t xml:space="preserve"/>
      </w:r>
    </w:p>
    <w:p>
      <w:pPr>
        <w:jc w:val="center"/>
      </w:pPr>
      <w:r>
        <w:rPr>
          <w:rFonts w:ascii="Arial" w:cs="Arial" w:eastAsia="Arial" w:hAnsi="Arial"/>
          <w:color w:val="1F5C99"/>
          <w:sz w:val="22"/>
          <w:szCs w:val="22"/>
        </w:rPr>
        <w:t xml:space="preserve">─────────────────────────────────────────────────────────────────</w:t>
      </w:r>
    </w:p>
    <w:p>
      <w:pPr>
        <w:spacing w:after="120"/>
      </w:pPr>
      <w:r>
        <w:t xml:space="preserve"/>
      </w:r>
    </w:p>
    <w:p>
      <w:pPr>
        <w:jc w:val="center"/>
      </w:pPr>
      <w:r>
        <w:rPr>
          <w:rFonts w:ascii="Arial" w:cs="Arial" w:eastAsia="Arial" w:hAnsi="Arial"/>
          <w:i/>
          <w:iCs/>
          <w:color w:val="4B5563"/>
          <w:sz w:val="18"/>
          <w:szCs w:val="18"/>
        </w:rPr>
        <w:t xml:space="preserve">Projet Néré  ·  Plateforme Numérique de Santé  ·  Cameroun  ·  2025</w:t>
      </w:r>
    </w:p>
    <w:p>
      <w:pPr>
        <w:spacing w:after="80"/>
      </w:pPr>
      <w:r>
        <w:t xml:space="preserve"/>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right"/>
    </w:pPr>
    <w:r>
      <w:rPr>
        <w:rFonts w:ascii="Arial" w:cs="Arial" w:eastAsia="Arial" w:hAnsi="Arial"/>
        <w:color w:val="4B5563"/>
        <w:sz w:val="17"/>
        <w:szCs w:val="17"/>
      </w:rPr>
      <w:t xml:space="preserve">Néré — Analyse Compétitive Stratégique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4"/>
      </w:pBdr>
      <w:jc w:val="left"/>
    </w:pPr>
    <w:r>
      <w:rPr>
        <w:rFonts w:ascii="Arial" w:cs="Arial" w:eastAsia="Arial" w:hAnsi="Arial"/>
        <w:b/>
        <w:bCs/>
        <w:color w:val="1F5C99"/>
        <w:sz w:val="18"/>
        <w:szCs w:val="18"/>
      </w:rPr>
      <w:t xml:space="preserve">PROJET NÉRÉ  —  Étude Comparative vs Waspito &amp; Standards Mondiaux (Doctolib / Qare)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FFFFFF"/>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0D2B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2026-03-05T12:15:55.990Z</dcterms:created>
  <dcterms:modified xsi:type="dcterms:W3CDTF">2026-03-05T12:15:55.991Z</dcterms:modified>
</cp:coreProperties>
</file>

<file path=docProps/custom.xml><?xml version="1.0" encoding="utf-8"?>
<Properties xmlns="http://schemas.openxmlformats.org/officeDocument/2006/custom-properties" xmlns:vt="http://schemas.openxmlformats.org/officeDocument/2006/docPropsVTypes"/>
</file>